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ФОРМА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согласия на обработку персональных данных 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ConsPlusNonformat"/>
        <w:ind w:firstLine="567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Я,_________________________________________________________________________,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(фамилия, имя, отчество (при наличии)</w:t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зарегистрированный (зарегистрированная) по адресу __________________________________</w:t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_______________________________________________________________________________,</w:t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паспорт серия ________ N _____________, выдан ____________________________________,</w:t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________________________________________________________________________________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(дата) (кем выдан)</w:t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_______________________________________________________________________________,</w:t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ИНН ____________________________________, СНИЛС_______________________________,</w:t>
      </w:r>
    </w:p>
    <w:p>
      <w:pPr>
        <w:pStyle w:val="ConsPlusNonformat"/>
        <w:rPr>
          <w:rFonts w:ascii="Times New Roman" w:hAnsi="Times New Roman" w:cs="Times New Roman"/>
          <w:sz w:val="10"/>
          <w:szCs w:val="10"/>
        </w:rPr>
      </w:pPr>
      <w:r>
        <w:rPr>
          <w:rFonts w:cs="Times New Roman" w:ascii="Times New Roman" w:hAnsi="Times New Roman"/>
          <w:sz w:val="10"/>
          <w:szCs w:val="10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свободно, своей волей и в своем интересе даю согласие </w:t>
      </w:r>
      <w:r>
        <w:rPr>
          <w:rFonts w:cs="Times New Roman" w:ascii="Times New Roman" w:hAnsi="Times New Roman"/>
          <w:spacing w:val="-1"/>
          <w:sz w:val="24"/>
          <w:szCs w:val="24"/>
        </w:rPr>
        <w:t>Межрегионально</w:t>
      </w:r>
      <w:r>
        <w:rPr>
          <w:rFonts w:cs="Times New Roman" w:ascii="Times New Roman" w:hAnsi="Times New Roman"/>
          <w:spacing w:val="-1"/>
          <w:sz w:val="24"/>
          <w:szCs w:val="24"/>
        </w:rPr>
        <w:t>му</w:t>
      </w:r>
      <w:r>
        <w:rPr>
          <w:rFonts w:cs="Times New Roman" w:ascii="Times New Roman" w:hAnsi="Times New Roman"/>
          <w:spacing w:val="-1"/>
          <w:sz w:val="24"/>
          <w:szCs w:val="24"/>
        </w:rPr>
        <w:t xml:space="preserve"> территориально</w:t>
      </w:r>
      <w:r>
        <w:rPr>
          <w:rFonts w:cs="Times New Roman" w:ascii="Times New Roman" w:hAnsi="Times New Roman"/>
          <w:spacing w:val="-1"/>
          <w:sz w:val="24"/>
          <w:szCs w:val="24"/>
        </w:rPr>
        <w:t>му</w:t>
      </w:r>
      <w:r>
        <w:rPr>
          <w:rFonts w:cs="Times New Roman" w:ascii="Times New Roman" w:hAnsi="Times New Roman"/>
          <w:spacing w:val="-1"/>
          <w:sz w:val="24"/>
          <w:szCs w:val="24"/>
        </w:rPr>
        <w:t xml:space="preserve"> управлени</w:t>
      </w:r>
      <w:r>
        <w:rPr>
          <w:rFonts w:cs="Times New Roman" w:ascii="Times New Roman" w:hAnsi="Times New Roman"/>
          <w:spacing w:val="-1"/>
          <w:sz w:val="24"/>
          <w:szCs w:val="24"/>
        </w:rPr>
        <w:t>ю</w:t>
      </w:r>
      <w:r>
        <w:rPr>
          <w:rFonts w:cs="Times New Roman" w:ascii="Times New Roman" w:hAnsi="Times New Roman"/>
          <w:spacing w:val="-1"/>
          <w:sz w:val="24"/>
          <w:szCs w:val="24"/>
        </w:rPr>
        <w:t xml:space="preserve"> Федерального агентства по управлению государственным имуществом в Челябинской и Курганской областях</w:t>
      </w:r>
      <w:r>
        <w:rPr>
          <w:rFonts w:cs="Times New Roman" w:ascii="Times New Roman" w:hAnsi="Times New Roman"/>
          <w:sz w:val="24"/>
          <w:szCs w:val="24"/>
        </w:rPr>
        <w:t xml:space="preserve">, расположенному по адресу: </w:t>
      </w:r>
      <w:r>
        <w:rPr>
          <w:rFonts w:cs="Times New Roman" w:ascii="Times New Roman" w:hAnsi="Times New Roman"/>
          <w:sz w:val="24"/>
          <w:szCs w:val="24"/>
        </w:rPr>
        <w:t>г. Курган</w:t>
      </w:r>
      <w:r>
        <w:rPr>
          <w:rFonts w:cs="Times New Roman" w:ascii="Times New Roman" w:hAnsi="Times New Roman"/>
          <w:sz w:val="24"/>
          <w:szCs w:val="24"/>
        </w:rPr>
        <w:t xml:space="preserve">, </w:t>
      </w:r>
      <w:r>
        <w:rPr>
          <w:rFonts w:cs="Times New Roman" w:ascii="Times New Roman" w:hAnsi="Times New Roman"/>
          <w:sz w:val="24"/>
          <w:szCs w:val="24"/>
        </w:rPr>
        <w:t>пл. Ленина,1</w:t>
      </w:r>
      <w:r>
        <w:rPr>
          <w:rFonts w:cs="Times New Roman" w:ascii="Times New Roman" w:hAnsi="Times New Roman"/>
          <w:sz w:val="24"/>
          <w:szCs w:val="24"/>
        </w:rPr>
        <w:t xml:space="preserve"> (</w:t>
      </w:r>
      <w:r>
        <w:rPr>
          <w:rFonts w:cs="XO Thames" w:ascii="XO Thames" w:hAnsi="XO Thames"/>
          <w:b w:val="false"/>
          <w:bCs w:val="false"/>
          <w:sz w:val="24"/>
          <w:szCs w:val="24"/>
        </w:rPr>
        <w:t xml:space="preserve">ИНН </w:t>
      </w:r>
      <w:r>
        <w:rPr>
          <w:rFonts w:cs="XO Thames" w:ascii="XO Thames" w:hAnsi="XO Thames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7453216794, ОГРН 1107453003580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)</w:t>
      </w:r>
      <w:r>
        <w:rPr>
          <w:rFonts w:cs="Times New Roman" w:ascii="Times New Roman" w:hAnsi="Times New Roman"/>
          <w:sz w:val="24"/>
          <w:szCs w:val="24"/>
        </w:rPr>
        <w:t xml:space="preserve"> на обработку (любое</w:t>
      </w:r>
      <w:r>
        <w:rPr>
          <w:rFonts w:cs="Times New Roman" w:ascii="Times New Roman" w:hAnsi="Times New Roman"/>
          <w:sz w:val="24"/>
        </w:rPr>
        <w:t xml:space="preserve">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фамилия, имя, отчество (при наличии), дата (число, месяц, год) и место рождения, сведения о гражданстве;</w:t>
      </w:r>
    </w:p>
    <w:p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адрес регистрации по месту жительства (пребывания) и адрес фактического проживания;</w:t>
      </w:r>
    </w:p>
    <w:p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вид, серия, номер документа, удостоверяющего личность гражданина Российской Федерации на территории Российской Федерации, наименование органа и код подразделения органа (при наличии), выдавшего его, дата выдачи;</w:t>
      </w:r>
    </w:p>
    <w:p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номер телефона и (или) сведения о других способах связи;</w:t>
      </w:r>
    </w:p>
    <w:p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идентификационный номер налогоплательщика;</w:t>
      </w:r>
    </w:p>
    <w:p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страховой номер индивидуального лицевого счета гражданина в системе обязательного пенсионного страхования;</w:t>
      </w:r>
    </w:p>
    <w:p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номер расчетного счета;</w:t>
      </w:r>
    </w:p>
    <w:p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номер банковской карты;</w:t>
      </w:r>
    </w:p>
    <w:p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иные сведения, которые субъект персональных данных пожелал сообщить о себе.</w:t>
      </w:r>
    </w:p>
    <w:p>
      <w:pPr>
        <w:pStyle w:val="Normal"/>
        <w:spacing w:lineRule="auto" w:line="304"/>
        <w:ind w:firstLine="360"/>
        <w:jc w:val="both"/>
        <w:rPr>
          <w:rFonts w:ascii="Times New Roman" w:hAnsi="Times New Roman" w:eastAsia="Times New Roman"/>
        </w:rPr>
      </w:pPr>
      <w:r>
        <w:rPr>
          <w:rFonts w:cs="Times New Roman" w:ascii="Times New Roman" w:hAnsi="Times New Roman"/>
        </w:rPr>
        <w:t xml:space="preserve"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участием в торгах и/или комиссионных процедурах реализации для реализации полномочий, возложенных законодательством Российской Федерации на </w:t>
      </w:r>
      <w:bookmarkStart w:id="0" w:name="_Hlk206423289"/>
      <w:r>
        <w:rPr>
          <w:rFonts w:eastAsia="Times New Roman" w:ascii="Times New Roman" w:hAnsi="Times New Roman"/>
        </w:rPr>
        <w:t>Межрегионально</w:t>
      </w:r>
      <w:r>
        <w:rPr>
          <w:rFonts w:eastAsia="Times New Roman" w:ascii="Times New Roman" w:hAnsi="Times New Roman"/>
        </w:rPr>
        <w:t>е</w:t>
      </w:r>
      <w:r>
        <w:rPr>
          <w:rFonts w:eastAsia="Times New Roman" w:ascii="Times New Roman" w:hAnsi="Times New Roman"/>
        </w:rPr>
        <w:t xml:space="preserve"> Территориально</w:t>
      </w:r>
      <w:r>
        <w:rPr>
          <w:rFonts w:eastAsia="Times New Roman" w:ascii="Times New Roman" w:hAnsi="Times New Roman"/>
        </w:rPr>
        <w:t>е</w:t>
      </w:r>
      <w:r>
        <w:rPr>
          <w:rFonts w:eastAsia="Times New Roman" w:ascii="Times New Roman" w:hAnsi="Times New Roman"/>
        </w:rPr>
        <w:t xml:space="preserve"> управлени</w:t>
      </w:r>
      <w:r>
        <w:rPr>
          <w:rFonts w:eastAsia="Times New Roman" w:ascii="Times New Roman" w:hAnsi="Times New Roman"/>
        </w:rPr>
        <w:t>е</w:t>
      </w:r>
      <w:r>
        <w:rPr>
          <w:rFonts w:eastAsia="Times New Roman" w:ascii="Times New Roman" w:hAnsi="Times New Roman"/>
        </w:rPr>
        <w:t xml:space="preserve"> федерального агентства по управлению государственным имуществом в Челябинской и Курганской областях</w:t>
      </w:r>
      <w:r>
        <w:rPr>
          <w:rFonts w:cs="Times New Roman" w:ascii="Times New Roman" w:hAnsi="Times New Roman"/>
        </w:rPr>
        <w:t>.</w:t>
      </w:r>
    </w:p>
    <w:p>
      <w:pPr>
        <w:pStyle w:val="ConsPlusNonformat"/>
        <w:ind w:firstLine="567"/>
        <w:jc w:val="both"/>
        <w:rPr>
          <w:rFonts w:ascii="Times New Roman" w:hAnsi="Times New Roman" w:cs="Times New Roman"/>
          <w:sz w:val="24"/>
        </w:rPr>
      </w:pPr>
      <w:bookmarkEnd w:id="0"/>
      <w:r>
        <w:rPr>
          <w:rFonts w:cs="Times New Roman" w:ascii="Times New Roman" w:hAnsi="Times New Roman"/>
          <w:sz w:val="24"/>
        </w:rPr>
        <w:t xml:space="preserve">Персональные данные, а именно: фамилию, имя, отчество (при наличии) разрешаю использовать в качестве общедоступных в электронной почте и системе электронного документооборота Росимущества и его территориальных органов, а дату рождения (число, месяц и год рождения) </w:t>
      </w:r>
      <w:r>
        <w:rPr>
          <w:rFonts w:cs="Times New Roman" w:ascii="Times New Roman" w:hAnsi="Times New Roman"/>
          <w:i/>
          <w:iCs/>
          <w:sz w:val="24"/>
        </w:rPr>
        <w:t>разрешаю (не разрешаю)</w:t>
      </w:r>
      <w:r>
        <w:rPr>
          <w:rFonts w:cs="Times New Roman" w:ascii="Times New Roman" w:hAnsi="Times New Roman"/>
          <w:sz w:val="24"/>
        </w:rPr>
        <w:t xml:space="preserve"> (</w:t>
      </w:r>
      <w:r>
        <w:rPr>
          <w:rFonts w:cs="Times New Roman" w:ascii="Times New Roman" w:hAnsi="Times New Roman"/>
          <w:b/>
          <w:bCs/>
          <w:sz w:val="24"/>
        </w:rPr>
        <w:t>нужное подчеркнуть</w:t>
      </w:r>
      <w:r>
        <w:rPr>
          <w:rFonts w:cs="Times New Roman" w:ascii="Times New Roman" w:hAnsi="Times New Roman"/>
          <w:sz w:val="24"/>
        </w:rPr>
        <w:t>) использовать в качестве общедоступных для публикации на внутреннем информационном портале Росимущества и его территориальных органов, а также в иных случаях, предусмотренных законодательством Российской Федерации об обеспечении доступа к информации о деятельности государственных органов и органов местного самоуправления.</w:t>
      </w:r>
    </w:p>
    <w:p>
      <w:pPr>
        <w:pStyle w:val="ConsPlusNonformat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ConsPlusNonformat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Я ознакомлен (ознакомлена) с тем, что: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1) согласие на обработку персональных данных действует с даты подписания настоящего согласия на срок до проведения торгов (комиссионной процедуры реализации) или до заключения со мной договора купли-продажи;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3) в случае отзыва согласия на обработку персональных данных Межрегиональное Территориальное управление федерального агентства по управлению государственным имуществом в Челябинской и Курганской областях вправе продолжить обработку персональных данных без согласия при наличии оснований, указанных в </w:t>
      </w:r>
      <w:hyperlink r:id="rId2" w:tooltip="Федеральный закон от 27.07.2006 N 152-ФЗ (ред. от 28.02.2025) &quot;О персональных данных&quot; {КонсультантПлюс}">
        <w:r>
          <w:rPr>
            <w:rStyle w:val="Style9"/>
            <w:rFonts w:cs="Times New Roman" w:ascii="Times New Roman" w:hAnsi="Times New Roman"/>
            <w:sz w:val="24"/>
          </w:rPr>
          <w:t>пунктах 2</w:t>
        </w:r>
      </w:hyperlink>
      <w:r>
        <w:rPr>
          <w:rFonts w:cs="Times New Roman" w:ascii="Times New Roman" w:hAnsi="Times New Roman"/>
          <w:sz w:val="24"/>
        </w:rPr>
        <w:t xml:space="preserve"> - </w:t>
      </w:r>
      <w:hyperlink r:id="rId3" w:tooltip="Федеральный закон от 27.07.2006 N 152-ФЗ (ред. от 28.02.2025) &quot;О персональных данных&quot; {КонсультантПлюс}">
        <w:r>
          <w:rPr>
            <w:rStyle w:val="Style9"/>
            <w:rFonts w:cs="Times New Roman" w:ascii="Times New Roman" w:hAnsi="Times New Roman"/>
            <w:sz w:val="24"/>
          </w:rPr>
          <w:t>11 части 1 статьи 6</w:t>
        </w:r>
      </w:hyperlink>
      <w:r>
        <w:rPr>
          <w:rFonts w:cs="Times New Roman" w:ascii="Times New Roman" w:hAnsi="Times New Roman"/>
          <w:sz w:val="24"/>
        </w:rPr>
        <w:t xml:space="preserve">, </w:t>
      </w:r>
      <w:hyperlink r:id="rId4" w:tooltip="Федеральный закон от 27.07.2006 N 152-ФЗ (ред. от 28.02.2025) &quot;О персональных данных&quot; {КонсультантПлюс}">
        <w:r>
          <w:rPr>
            <w:rStyle w:val="Style9"/>
            <w:rFonts w:cs="Times New Roman" w:ascii="Times New Roman" w:hAnsi="Times New Roman"/>
            <w:sz w:val="24"/>
          </w:rPr>
          <w:t>части 2 статьи 10</w:t>
        </w:r>
      </w:hyperlink>
      <w:r>
        <w:rPr>
          <w:rFonts w:cs="Times New Roman" w:ascii="Times New Roman" w:hAnsi="Times New Roman"/>
          <w:sz w:val="24"/>
        </w:rPr>
        <w:t xml:space="preserve"> и </w:t>
      </w:r>
      <w:hyperlink r:id="rId5" w:tooltip="Федеральный закон от 27.07.2006 N 152-ФЗ (ред. от 28.02.2025) &quot;О персональных данных&quot; {КонсультантПлюс}">
        <w:r>
          <w:rPr>
            <w:rStyle w:val="Style9"/>
            <w:rFonts w:cs="Times New Roman" w:ascii="Times New Roman" w:hAnsi="Times New Roman"/>
            <w:sz w:val="24"/>
          </w:rPr>
          <w:t>части 2 статьи 11</w:t>
        </w:r>
      </w:hyperlink>
      <w:r>
        <w:rPr>
          <w:rFonts w:cs="Times New Roman" w:ascii="Times New Roman" w:hAnsi="Times New Roman"/>
          <w:sz w:val="24"/>
        </w:rPr>
        <w:t xml:space="preserve"> Федерального закона от 27 июля 2006 г. N 152-ФЗ "О персональных данных";</w:t>
      </w:r>
    </w:p>
    <w:p>
      <w:pPr>
        <w:pStyle w:val="ConsPlusNonformat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4) после окончания торгов (комиссионной процедуры реализации) персональные данные хранятся в Межрегиональном Территориальном управлении федерального агентства по управлению государственным имуществом в Челябинской и Курганской областях в течение срока хранения документов, предусмотренного действующим законодательством Российской Федерации в области архивного дела;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5) персональные данные, предоставляемые в отношении третьих лиц, будут обрабатываться только в целях осуществления и выполнения функций, возложенных законодательством Российской Федерации на Федеральное агентство по управлению государственным имуществом, Межрегионального Территориального управления федерального агентства по управлению государственным имуществом в Челябинской и Курганской областях.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Дата начала обработки персональных данных:</w:t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«____» ______________ 202__ г.</w:t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________________________________________</w:t>
      </w:r>
    </w:p>
    <w:p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(подпись субъекта персональных данных)</w:t>
      </w:r>
    </w:p>
    <w:sectPr>
      <w:type w:val="nextPage"/>
      <w:pgSz w:w="11906" w:h="16838"/>
      <w:pgMar w:left="1418" w:right="851" w:gutter="0" w:header="0" w:top="851" w:footer="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Times New Roman">
    <w:charset w:val="cc"/>
    <w:family w:val="roman"/>
    <w:pitch w:val="variable"/>
  </w:font>
  <w:font w:name="XO Thames">
    <w:charset w:val="01"/>
    <w:family w:val="auto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2"/>
      <w:sz w:val="24"/>
      <w:szCs w:val="24"/>
      <w:lang w:val="ru-RU" w:eastAsia="ru-RU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b369fe"/>
    <w:rPr/>
  </w:style>
  <w:style w:type="character" w:styleId="Style15" w:customStyle="1">
    <w:name w:val="Нижний колонтитул Знак"/>
    <w:basedOn w:val="DefaultParagraphFont"/>
    <w:uiPriority w:val="99"/>
    <w:qFormat/>
    <w:rsid w:val="00b369fe"/>
    <w:rPr/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ConsPlusNormal" w:customStyle="1">
    <w:name w:val="ConsPlusNormal"/>
    <w:qFormat/>
    <w:pPr>
      <w:widowControl w:val="false"/>
      <w:bidi w:val="0"/>
      <w:spacing w:before="0" w:after="0"/>
      <w:jc w:val="left"/>
    </w:pPr>
    <w:rPr>
      <w:rFonts w:ascii="Times New Roman" w:hAnsi="Times New Roman" w:cs="Times New Roman" w:eastAsia="" w:eastAsiaTheme="minorEastAsia"/>
      <w:color w:val="auto"/>
      <w:kern w:val="2"/>
      <w:sz w:val="24"/>
      <w:szCs w:val="24"/>
      <w:lang w:val="ru-RU" w:eastAsia="ru-RU" w:bidi="ar-SA"/>
      <w14:ligatures w14:val="standardContextual"/>
    </w:rPr>
  </w:style>
  <w:style w:type="paragraph" w:styleId="ConsPlusNonformat" w:customStyle="1">
    <w:name w:val="ConsPlusNonformat"/>
    <w:qFormat/>
    <w:pPr>
      <w:widowControl w:val="false"/>
      <w:bidi w:val="0"/>
      <w:spacing w:before="0" w:after="0"/>
      <w:jc w:val="left"/>
    </w:pPr>
    <w:rPr>
      <w:rFonts w:ascii="Courier New" w:hAnsi="Courier New" w:cs="Courier New" w:eastAsia="" w:eastAsiaTheme="minorEastAsia"/>
      <w:color w:val="auto"/>
      <w:kern w:val="2"/>
      <w:sz w:val="20"/>
      <w:szCs w:val="24"/>
      <w:lang w:val="ru-RU" w:eastAsia="ru-RU" w:bidi="ar-SA"/>
      <w14:ligatures w14:val="standardContextual"/>
    </w:rPr>
  </w:style>
  <w:style w:type="paragraph" w:styleId="ConsPlusTitle" w:customStyle="1">
    <w:name w:val="ConsPlusTitle"/>
    <w:qFormat/>
    <w:pPr>
      <w:widowControl w:val="false"/>
      <w:bidi w:val="0"/>
      <w:spacing w:before="0" w:after="0"/>
      <w:jc w:val="left"/>
    </w:pPr>
    <w:rPr>
      <w:rFonts w:ascii="Arial" w:hAnsi="Arial" w:cs="Arial" w:eastAsia="" w:eastAsiaTheme="minorEastAsia"/>
      <w:b/>
      <w:color w:val="auto"/>
      <w:kern w:val="2"/>
      <w:sz w:val="24"/>
      <w:szCs w:val="24"/>
      <w:lang w:val="ru-RU" w:eastAsia="ru-RU" w:bidi="ar-SA"/>
      <w14:ligatures w14:val="standardContextual"/>
    </w:rPr>
  </w:style>
  <w:style w:type="paragraph" w:styleId="ConsPlusCell" w:customStyle="1">
    <w:name w:val="ConsPlusCell"/>
    <w:qFormat/>
    <w:pPr>
      <w:widowControl w:val="false"/>
      <w:bidi w:val="0"/>
      <w:spacing w:before="0" w:after="0"/>
      <w:jc w:val="left"/>
    </w:pPr>
    <w:rPr>
      <w:rFonts w:ascii="Courier New" w:hAnsi="Courier New" w:cs="Courier New" w:eastAsia="" w:eastAsiaTheme="minorEastAsia"/>
      <w:color w:val="auto"/>
      <w:kern w:val="2"/>
      <w:sz w:val="20"/>
      <w:szCs w:val="24"/>
      <w:lang w:val="ru-RU" w:eastAsia="ru-RU" w:bidi="ar-SA"/>
      <w14:ligatures w14:val="standardContextual"/>
    </w:rPr>
  </w:style>
  <w:style w:type="paragraph" w:styleId="ConsPlusDocList" w:customStyle="1">
    <w:name w:val="ConsPlusDocList"/>
    <w:qFormat/>
    <w:pPr>
      <w:widowControl w:val="false"/>
      <w:bidi w:val="0"/>
      <w:spacing w:before="0" w:after="0"/>
      <w:jc w:val="left"/>
    </w:pPr>
    <w:rPr>
      <w:rFonts w:ascii="Tahoma" w:hAnsi="Tahoma" w:cs="Tahoma" w:eastAsia="" w:eastAsiaTheme="minorEastAsia"/>
      <w:color w:val="auto"/>
      <w:kern w:val="2"/>
      <w:sz w:val="18"/>
      <w:szCs w:val="24"/>
      <w:lang w:val="ru-RU" w:eastAsia="ru-RU" w:bidi="ar-SA"/>
      <w14:ligatures w14:val="standardContextual"/>
    </w:rPr>
  </w:style>
  <w:style w:type="paragraph" w:styleId="ConsPlusTitlePage" w:customStyle="1">
    <w:name w:val="ConsPlusTitlePage"/>
    <w:qFormat/>
    <w:pPr>
      <w:widowControl w:val="false"/>
      <w:bidi w:val="0"/>
      <w:spacing w:before="0" w:after="0"/>
      <w:jc w:val="left"/>
    </w:pPr>
    <w:rPr>
      <w:rFonts w:ascii="Tahoma" w:hAnsi="Tahoma" w:cs="Tahoma" w:eastAsia="" w:eastAsiaTheme="minorEastAsia"/>
      <w:color w:val="auto"/>
      <w:kern w:val="2"/>
      <w:sz w:val="20"/>
      <w:szCs w:val="24"/>
      <w:lang w:val="ru-RU" w:eastAsia="ru-RU" w:bidi="ar-SA"/>
      <w14:ligatures w14:val="standardContextual"/>
    </w:rPr>
  </w:style>
  <w:style w:type="paragraph" w:styleId="ConsPlusJurTerm" w:customStyle="1">
    <w:name w:val="ConsPlusJurTerm"/>
    <w:qFormat/>
    <w:pPr>
      <w:widowControl w:val="false"/>
      <w:bidi w:val="0"/>
      <w:spacing w:before="0" w:after="0"/>
      <w:jc w:val="left"/>
    </w:pPr>
    <w:rPr>
      <w:rFonts w:ascii="Tahoma" w:hAnsi="Tahoma" w:cs="Tahoma" w:eastAsia="" w:eastAsiaTheme="minorEastAsia"/>
      <w:color w:val="auto"/>
      <w:kern w:val="2"/>
      <w:sz w:val="26"/>
      <w:szCs w:val="24"/>
      <w:lang w:val="ru-RU" w:eastAsia="ru-RU" w:bidi="ar-SA"/>
      <w14:ligatures w14:val="standardContextual"/>
    </w:rPr>
  </w:style>
  <w:style w:type="paragraph" w:styleId="ConsPlusTextList" w:customStyle="1">
    <w:name w:val="ConsPlusTextList"/>
    <w:qFormat/>
    <w:pPr>
      <w:widowControl w:val="false"/>
      <w:bidi w:val="0"/>
      <w:spacing w:before="0" w:after="0"/>
      <w:jc w:val="left"/>
    </w:pPr>
    <w:rPr>
      <w:rFonts w:ascii="Times New Roman" w:hAnsi="Times New Roman" w:cs="Times New Roman" w:eastAsia="" w:eastAsiaTheme="minorEastAsia"/>
      <w:color w:val="auto"/>
      <w:kern w:val="2"/>
      <w:sz w:val="24"/>
      <w:szCs w:val="24"/>
      <w:lang w:val="ru-RU" w:eastAsia="ru-RU" w:bidi="ar-SA"/>
      <w14:ligatures w14:val="standardContextual"/>
    </w:rPr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b369f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b369fe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500102&amp;date=18.08.2025&amp;dst=100260&amp;field=134" TargetMode="External"/><Relationship Id="rId3" Type="http://schemas.openxmlformats.org/officeDocument/2006/relationships/hyperlink" Target="https://login.consultant.ru/link/?req=doc&amp;base=LAW&amp;n=500102&amp;date=18.08.2025&amp;dst=100269&amp;field=134" TargetMode="External"/><Relationship Id="rId4" Type="http://schemas.openxmlformats.org/officeDocument/2006/relationships/hyperlink" Target="https://login.consultant.ru/link/?req=doc&amp;base=LAW&amp;n=500102&amp;date=18.08.2025&amp;dst=100082&amp;field=134" TargetMode="External"/><Relationship Id="rId5" Type="http://schemas.openxmlformats.org/officeDocument/2006/relationships/hyperlink" Target="https://login.consultant.ru/link/?req=doc&amp;base=LAW&amp;n=500102&amp;date=18.08.2025&amp;dst=134&amp;field=134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Application>LibreOffice/24.8.7.2$Linux_X86_64 LibreOffice_project/480$Build-2</Application>
  <AppVersion>15.0000</AppVersion>
  <Pages>2</Pages>
  <Words>543</Words>
  <Characters>4444</Characters>
  <CharactersWithSpaces>4946</CharactersWithSpaces>
  <Paragraphs>33</Paragraphs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2025-08-18T08:55:00Z</dcterms:created>
  <dc:creator/>
  <dc:description/>
  <dc:language>ru-RU</dc:language>
  <cp:lastModifiedBy/>
  <dcterms:modified xsi:type="dcterms:W3CDTF">2026-08-19T10:42:47Z</dcterms:modified>
  <cp:revision>25</cp:revision>
  <dc:subject/>
  <dc:title>Приказ Росимущества от 25.09.2023 N 198
"О персональных данных, обрабатываемых в Федеральном агентстве по управлению государственным имуществом и его территориальных органах"
(вместе с "Правилами обработки персональных данных в Федеральном агентстве по управлению государственным имуществом и его территориальных органах", "Правилами рассмотрения запросов субъектов персональных данных или их представителей в Федеральном агентстве по управлению государственным имуществом и его территориальных органах", "Правил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