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95"/>
        <w:jc w:val="right"/>
        <w:rPr>
          <w:b/>
        </w:rPr>
      </w:pPr>
      <w:r>
        <w:rPr>
          <w:b/>
        </w:rPr>
      </w:r>
      <w:r>
        <w:rPr>
          <w:b/>
        </w:rPr>
      </w:r>
      <w:r>
        <w:rPr>
          <w:b/>
        </w:rPr>
      </w:r>
    </w:p>
    <w:p>
      <w:pPr>
        <w:pStyle w:val="895"/>
        <w:jc w:val="center"/>
        <w:rPr>
          <w:b/>
        </w:rPr>
      </w:pPr>
      <w:r>
        <w:rPr>
          <w:b/>
        </w:rPr>
        <w:t xml:space="preserve">Межрегиональное территориальное управление Федерального агентства по управлению государственным имуществом в Челябинской и Курганской областях</w:t>
      </w:r>
      <w:r>
        <w:rPr>
          <w:b/>
        </w:rPr>
      </w:r>
      <w:r>
        <w:rPr>
          <w:b/>
        </w:rPr>
      </w:r>
    </w:p>
    <w:p>
      <w:pPr>
        <w:pStyle w:val="895"/>
        <w:jc w:val="center"/>
        <w:rPr>
          <w:b/>
        </w:rPr>
      </w:pPr>
      <w:r>
        <w:rPr>
          <w:b/>
        </w:rPr>
      </w:r>
      <w:r>
        <w:rPr>
          <w:b/>
        </w:rPr>
      </w:r>
      <w:r>
        <w:rPr>
          <w:b/>
        </w:rPr>
      </w:r>
    </w:p>
    <w:p>
      <w:pPr>
        <w:pStyle w:val="895"/>
        <w:jc w:val="center"/>
        <w:rPr>
          <w:b/>
        </w:rPr>
      </w:pPr>
      <w:r>
        <w:rPr>
          <w:b/>
        </w:rPr>
      </w:r>
      <w:r>
        <w:rPr>
          <w:b/>
        </w:rPr>
      </w:r>
      <w:r>
        <w:rPr>
          <w:b/>
        </w:rPr>
      </w:r>
    </w:p>
    <w:p>
      <w:pPr>
        <w:pStyle w:val="895"/>
        <w:jc w:val="center"/>
        <w:rPr>
          <w:b/>
        </w:rPr>
      </w:pPr>
      <w:r>
        <w:rPr>
          <w:b/>
        </w:rPr>
      </w:r>
      <w:r>
        <w:rPr>
          <w:b/>
        </w:rPr>
      </w:r>
      <w:r>
        <w:rPr>
          <w:b/>
        </w:rPr>
      </w:r>
    </w:p>
    <w:p>
      <w:pPr>
        <w:pStyle w:val="895"/>
        <w:jc w:val="center"/>
        <w:rPr>
          <w:b/>
        </w:rPr>
      </w:pPr>
      <w:r>
        <w:rPr>
          <w:b/>
        </w:rPr>
      </w:r>
      <w:r>
        <w:rPr>
          <w:b/>
        </w:rPr>
      </w:r>
      <w:r>
        <w:rPr>
          <w:b/>
        </w:rPr>
      </w:r>
    </w:p>
    <w:p>
      <w:pPr>
        <w:pStyle w:val="895"/>
        <w:jc w:val="center"/>
        <w:rPr>
          <w:b/>
        </w:rPr>
      </w:pPr>
      <w:r>
        <w:rPr>
          <w:b/>
        </w:rPr>
      </w:r>
      <w:r>
        <w:rPr>
          <w:b/>
        </w:rPr>
      </w:r>
      <w:r>
        <w:rPr>
          <w:b/>
        </w:rPr>
      </w:r>
    </w:p>
    <w:p>
      <w:pPr>
        <w:pStyle w:val="895"/>
        <w:jc w:val="center"/>
        <w:spacing w:before="0" w:after="240"/>
        <w:rPr>
          <w:sz w:val="24"/>
          <w:szCs w:val="24"/>
        </w:rPr>
      </w:pPr>
      <w:r>
        <w:rPr>
          <w:b/>
          <w:sz w:val="24"/>
          <w:szCs w:val="24"/>
        </w:rPr>
        <w:t xml:space="preserve">ИНФОРМАЦИОННОЕ СООБЩЕНИЕ</w:t>
      </w:r>
      <w:r>
        <w:rPr>
          <w:sz w:val="24"/>
          <w:szCs w:val="24"/>
        </w:rPr>
      </w:r>
      <w:r>
        <w:rPr>
          <w:sz w:val="24"/>
          <w:szCs w:val="24"/>
        </w:rPr>
      </w:r>
    </w:p>
    <w:p>
      <w:pPr>
        <w:pStyle w:val="937"/>
        <w:jc w:val="center"/>
        <w:rPr>
          <w:sz w:val="24"/>
          <w:szCs w:val="24"/>
        </w:rPr>
      </w:pPr>
      <w:r>
        <w:rPr>
          <w:b/>
          <w:sz w:val="24"/>
          <w:szCs w:val="24"/>
        </w:rPr>
        <w:t xml:space="preserve">о проведении </w:t>
      </w:r>
      <w:r>
        <w:rPr>
          <w:b/>
          <w:color w:val="auto"/>
          <w:sz w:val="24"/>
          <w:szCs w:val="24"/>
        </w:rPr>
        <w:t xml:space="preserve">продажи 1/3 </w:t>
      </w:r>
      <w:r>
        <w:rPr>
          <w:b/>
          <w:color w:val="auto"/>
          <w:sz w:val="24"/>
          <w:szCs w:val="24"/>
        </w:rPr>
        <w:t xml:space="preserve">доли в праве общей долевой собственности</w:t>
      </w:r>
      <w:r>
        <w:rPr>
          <w:b/>
          <w:color w:val="auto"/>
          <w:sz w:val="24"/>
          <w:szCs w:val="24"/>
        </w:rPr>
        <w:t xml:space="preserve"> на </w:t>
      </w:r>
      <w:r>
        <w:rPr>
          <w:b/>
          <w:color w:val="auto"/>
          <w:sz w:val="24"/>
          <w:szCs w:val="24"/>
        </w:rPr>
        <w:t xml:space="preserve">нежилое здание – спальный корпус с надстройкой 2-го этажа с мансардой общей площадью 293,1  кв.м, кадастровый номер 74:02:0814001:1473, расположенное по адресу: Челябинская область, муниципальный район Аргаяшский, сельское поселение Кузнецкое, те</w:t>
      </w:r>
      <w:r>
        <w:rPr>
          <w:b/>
          <w:color w:val="auto"/>
          <w:sz w:val="24"/>
          <w:szCs w:val="24"/>
        </w:rPr>
        <w:t xml:space="preserve">рритория базы отдыха Светлячок, здание 4</w:t>
      </w:r>
      <w:r>
        <w:rPr>
          <w:b/>
          <w:color w:val="auto"/>
          <w:sz w:val="24"/>
          <w:szCs w:val="24"/>
        </w:rPr>
        <w:t xml:space="preserve">, </w:t>
      </w:r>
      <w:r>
        <w:rPr>
          <w:b/>
          <w:color w:val="auto"/>
          <w:sz w:val="24"/>
          <w:szCs w:val="24"/>
        </w:rPr>
        <w:t xml:space="preserve">путем реализации преимущественного права покупки владельцем доли в праве общей долевой собственности</w:t>
      </w:r>
      <w:r/>
      <w:r>
        <w:rPr>
          <w:b/>
          <w:color w:val="auto"/>
          <w:sz w:val="24"/>
          <w:szCs w:val="24"/>
        </w:rPr>
      </w:r>
      <w:r>
        <w:rPr>
          <w:sz w:val="24"/>
          <w:szCs w:val="24"/>
        </w:rPr>
      </w:r>
    </w:p>
    <w:p>
      <w:pPr>
        <w:pStyle w:val="895"/>
        <w:jc w:val="center"/>
        <w:tabs>
          <w:tab w:val="clear" w:pos="709" w:leader="none"/>
          <w:tab w:val="left" w:pos="851" w:leader="none"/>
        </w:tabs>
        <w:rPr>
          <w:b/>
        </w:rPr>
      </w:pPr>
      <w:r>
        <w:rPr>
          <w:b/>
          <w:sz w:val="24"/>
          <w:szCs w:val="24"/>
        </w:rPr>
        <w:t xml:space="preserve">____________________________________</w:t>
      </w:r>
      <w:r>
        <w:rPr>
          <w:b/>
        </w:rPr>
        <w:t xml:space="preserve">__</w:t>
      </w:r>
      <w:r>
        <w:rPr>
          <w:b/>
        </w:rPr>
      </w:r>
      <w:r>
        <w:rPr>
          <w:b/>
        </w:rPr>
      </w:r>
    </w:p>
    <w:p>
      <w:pPr>
        <w:pStyle w:val="895"/>
        <w:jc w:val="center"/>
        <w:rPr>
          <w:b/>
          <w:i/>
        </w:rPr>
      </w:pPr>
      <w:r>
        <w:rPr>
          <w:b/>
          <w:i/>
        </w:rPr>
      </w:r>
      <w:r>
        <w:rPr>
          <w:b/>
          <w:i/>
        </w:rPr>
      </w:r>
      <w:r>
        <w:rPr>
          <w:b/>
          <w:i/>
        </w:rPr>
      </w:r>
    </w:p>
    <w:p>
      <w:pPr>
        <w:pStyle w:val="895"/>
        <w:jc w:val="center"/>
        <w:rPr>
          <w:b/>
          <w:i/>
        </w:rPr>
      </w:pPr>
      <w:r>
        <w:rPr>
          <w:b/>
          <w:i/>
        </w:rPr>
      </w:r>
      <w:r>
        <w:rPr>
          <w:b/>
          <w:i/>
        </w:rPr>
      </w:r>
      <w:r>
        <w:rPr>
          <w:b/>
          <w:i/>
        </w:rPr>
      </w:r>
    </w:p>
    <w:p>
      <w:pPr>
        <w:pStyle w:val="895"/>
        <w:jc w:val="center"/>
        <w:rPr>
          <w:b/>
          <w:i/>
        </w:rPr>
      </w:pPr>
      <w:r>
        <w:rPr>
          <w:b/>
          <w:i/>
        </w:rPr>
      </w:r>
      <w:r>
        <w:rPr>
          <w:b/>
          <w:i/>
        </w:rPr>
      </w:r>
      <w:r>
        <w:rPr>
          <w:b/>
          <w:i/>
        </w:rPr>
      </w:r>
    </w:p>
    <w:p>
      <w:pPr>
        <w:pStyle w:val="895"/>
        <w:jc w:val="center"/>
        <w:rPr>
          <w:b/>
          <w:i/>
        </w:rPr>
      </w:pPr>
      <w:r>
        <w:rPr>
          <w:b/>
          <w:i/>
        </w:rPr>
      </w:r>
      <w:r>
        <w:rPr>
          <w:b/>
          <w:i/>
        </w:rPr>
      </w:r>
      <w:r>
        <w:rPr>
          <w:b/>
          <w:i/>
        </w:rPr>
      </w:r>
    </w:p>
    <w:p>
      <w:pPr>
        <w:pStyle w:val="895"/>
        <w:jc w:val="center"/>
        <w:rPr>
          <w:b/>
          <w:i/>
        </w:rPr>
      </w:pPr>
      <w:r>
        <w:rPr>
          <w:b/>
          <w:i/>
        </w:rPr>
      </w:r>
      <w:r>
        <w:rPr>
          <w:b/>
          <w:i/>
        </w:rPr>
      </w:r>
      <w:r>
        <w:rPr>
          <w:b/>
          <w:i/>
        </w:rPr>
      </w:r>
    </w:p>
    <w:tbl>
      <w:tblPr>
        <w:tblStyle w:val="943"/>
        <w:tblW w:w="10173" w:type="dxa"/>
        <w:tblInd w:w="0" w:type="dxa"/>
        <w:tblLayout w:type="fixed"/>
        <w:tblCellMar>
          <w:left w:w="108" w:type="dxa"/>
          <w:top w:w="0" w:type="dxa"/>
          <w:right w:w="108" w:type="dxa"/>
          <w:bottom w:w="0" w:type="dxa"/>
        </w:tblCellMar>
        <w:tblLook w:val="04A0" w:firstRow="1" w:lastRow="0" w:firstColumn="1" w:lastColumn="0" w:noHBand="0" w:noVBand="1"/>
      </w:tblPr>
      <w:tblGrid>
        <w:gridCol w:w="5353"/>
        <w:gridCol w:w="4086"/>
        <w:gridCol w:w="734"/>
      </w:tblGrid>
      <w:tr>
        <w:tblPrEx/>
        <w:trPr/>
        <w:tc>
          <w:tcPr>
            <w:tcBorders>
              <w:top w:val="none" w:color="000000" w:sz="4" w:space="0"/>
              <w:left w:val="none" w:color="000000" w:sz="4" w:space="0"/>
              <w:bottom w:val="none" w:color="000000" w:sz="4" w:space="0"/>
              <w:right w:val="none" w:color="000000" w:sz="4" w:space="0"/>
            </w:tcBorders>
            <w:tcW w:w="5353" w:type="dxa"/>
            <w:textDirection w:val="lrTb"/>
            <w:noWrap w:val="false"/>
          </w:tcPr>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t xml:space="preserve">Дата получения владельцем доли предложения о реализации преимущественного права:</w:t>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c>
          <w:tcPr>
            <w:tcBorders>
              <w:top w:val="none" w:color="000000" w:sz="4" w:space="0"/>
              <w:left w:val="none" w:color="000000" w:sz="4" w:space="0"/>
              <w:bottom w:val="none" w:color="000000" w:sz="4" w:space="0"/>
              <w:right w:val="none" w:color="000000" w:sz="4" w:space="0"/>
            </w:tcBorders>
            <w:tcW w:w="4086" w:type="dxa"/>
            <w:vAlign w:val="center"/>
            <w:textDirection w:val="lrTb"/>
            <w:noWrap w:val="false"/>
          </w:tcPr>
          <w:p>
            <w:pPr>
              <w:pStyle w:val="916"/>
              <w:ind w:right="57"/>
              <w:jc w:val="center"/>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t xml:space="preserve">13.07.2026</w:t>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c>
          <w:tcPr>
            <w:tcBorders>
              <w:top w:val="none" w:color="000000" w:sz="4" w:space="0"/>
              <w:left w:val="none" w:color="000000" w:sz="4" w:space="0"/>
              <w:bottom w:val="none" w:color="000000" w:sz="4" w:space="0"/>
              <w:right w:val="none" w:color="000000" w:sz="4" w:space="0"/>
            </w:tcBorders>
            <w:tcW w:w="734" w:type="dxa"/>
            <w:textDirection w:val="lrTb"/>
            <w:noWrap w:val="false"/>
          </w:tcPr>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r>
      <w:tr>
        <w:tblPrEx/>
        <w:trPr/>
        <w:tc>
          <w:tcPr>
            <w:tcBorders>
              <w:top w:val="none" w:color="000000" w:sz="4" w:space="0"/>
              <w:left w:val="none" w:color="000000" w:sz="4" w:space="0"/>
              <w:bottom w:val="none" w:color="000000" w:sz="4" w:space="0"/>
              <w:right w:val="none" w:color="000000" w:sz="4" w:space="0"/>
            </w:tcBorders>
            <w:tcW w:w="5353" w:type="dxa"/>
            <w:textDirection w:val="lrTb"/>
            <w:noWrap w:val="false"/>
          </w:tcPr>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t xml:space="preserve">Дата использования преимущественного права владельца доли, не позднее:</w:t>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c>
          <w:tcPr>
            <w:tcBorders>
              <w:top w:val="none" w:color="000000" w:sz="4" w:space="0"/>
              <w:left w:val="none" w:color="000000" w:sz="4" w:space="0"/>
              <w:bottom w:val="none" w:color="000000" w:sz="4" w:space="0"/>
              <w:right w:val="none" w:color="000000" w:sz="4" w:space="0"/>
            </w:tcBorders>
            <w:tcW w:w="4086" w:type="dxa"/>
            <w:vAlign w:val="center"/>
            <w:textDirection w:val="lrTb"/>
            <w:noWrap w:val="false"/>
          </w:tcPr>
          <w:p>
            <w:pPr>
              <w:pStyle w:val="916"/>
              <w:ind w:right="57"/>
              <w:jc w:val="center"/>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t xml:space="preserve">12.08.2026</w:t>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c>
          <w:tcPr>
            <w:tcBorders>
              <w:top w:val="none" w:color="000000" w:sz="4" w:space="0"/>
              <w:left w:val="none" w:color="000000" w:sz="4" w:space="0"/>
              <w:bottom w:val="none" w:color="000000" w:sz="4" w:space="0"/>
              <w:right w:val="none" w:color="000000" w:sz="4" w:space="0"/>
            </w:tcBorders>
            <w:tcW w:w="734" w:type="dxa"/>
            <w:textDirection w:val="lrTb"/>
            <w:noWrap w:val="false"/>
          </w:tcPr>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r>
      <w:tr>
        <w:tblPrEx/>
        <w:trPr/>
        <w:tc>
          <w:tcPr>
            <w:tcBorders>
              <w:top w:val="none" w:color="000000" w:sz="4" w:space="0"/>
              <w:left w:val="none" w:color="000000" w:sz="4" w:space="0"/>
              <w:bottom w:val="none" w:color="000000" w:sz="4" w:space="0"/>
              <w:right w:val="none" w:color="000000" w:sz="4" w:space="0"/>
            </w:tcBorders>
            <w:tcW w:w="5353" w:type="dxa"/>
            <w:textDirection w:val="lrTb"/>
            <w:noWrap w:val="false"/>
          </w:tcPr>
          <w:p>
            <w:pPr>
              <w:pStyle w:val="895"/>
              <w:jc w:val="left"/>
              <w:spacing w:before="0" w:after="0"/>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t xml:space="preserve">Дата определения итогов продажи, не позднее:</w:t>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c>
          <w:tcPr>
            <w:tcBorders>
              <w:top w:val="none" w:color="000000" w:sz="4" w:space="0"/>
              <w:left w:val="none" w:color="000000" w:sz="4" w:space="0"/>
              <w:bottom w:val="none" w:color="000000" w:sz="4" w:space="0"/>
              <w:right w:val="none" w:color="000000" w:sz="4" w:space="0"/>
            </w:tcBorders>
            <w:tcW w:w="4086" w:type="dxa"/>
            <w:vAlign w:val="center"/>
            <w:textDirection w:val="lrTb"/>
            <w:noWrap w:val="false"/>
          </w:tcPr>
          <w:p>
            <w:pPr>
              <w:pStyle w:val="916"/>
              <w:ind w:right="57"/>
              <w:jc w:val="center"/>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t xml:space="preserve">13.08.2026</w:t>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c>
          <w:tcPr>
            <w:tcBorders>
              <w:top w:val="none" w:color="000000" w:sz="4" w:space="0"/>
              <w:left w:val="none" w:color="000000" w:sz="4" w:space="0"/>
              <w:bottom w:val="none" w:color="000000" w:sz="4" w:space="0"/>
              <w:right w:val="none" w:color="000000" w:sz="4" w:space="0"/>
            </w:tcBorders>
            <w:tcW w:w="734" w:type="dxa"/>
            <w:textDirection w:val="lrTb"/>
            <w:noWrap w:val="false"/>
          </w:tcPr>
          <w:p>
            <w:pPr>
              <w:pStyle w:val="916"/>
              <w:ind w:right="57"/>
              <w:spacing w:before="0" w:after="0" w:line="264" w:lineRule="auto"/>
              <w:widowControl/>
              <w:rPr>
                <w:rFonts w:ascii="Times New Roman" w:hAnsi="Times New Roman" w:eastAsia="Times New Roman" w:cs="Times New Roman"/>
                <w:sz w:val="24"/>
                <w:szCs w:val="24"/>
                <w:lang w:val="ru-RU" w:eastAsia="ru-RU" w:bidi="ar-SA"/>
              </w:rPr>
            </w:pPr>
            <w:r>
              <w:rPr>
                <w:rFonts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r>
              <w:rPr>
                <w:rFonts w:ascii="Times New Roman" w:hAnsi="Times New Roman" w:eastAsia="Times New Roman" w:cs="Times New Roman"/>
                <w:sz w:val="24"/>
                <w:szCs w:val="24"/>
                <w:lang w:val="ru-RU" w:eastAsia="ru-RU" w:bidi="ar-SA"/>
              </w:rPr>
            </w:r>
          </w:p>
        </w:tc>
      </w:tr>
    </w:tbl>
    <w:p>
      <w:pPr>
        <w:pStyle w:val="916"/>
        <w:ind w:right="57" w:firstLine="720"/>
        <w:spacing w:line="264" w:lineRule="auto"/>
        <w:rPr>
          <w:sz w:val="28"/>
          <w:szCs w:val="28"/>
        </w:rPr>
      </w:pPr>
      <w:r>
        <w:rPr>
          <w:sz w:val="28"/>
          <w:szCs w:val="28"/>
        </w:rPr>
      </w:r>
      <w:r>
        <w:br w:type="page" w:clear="all"/>
      </w:r>
      <w:r>
        <w:rPr>
          <w:sz w:val="28"/>
          <w:szCs w:val="28"/>
        </w:rPr>
      </w:r>
      <w:r>
        <w:rPr>
          <w:sz w:val="28"/>
          <w:szCs w:val="28"/>
        </w:rPr>
      </w:r>
    </w:p>
    <w:p>
      <w:pPr>
        <w:pStyle w:val="895"/>
        <w:spacing w:before="0" w:after="0"/>
      </w:pPr>
      <w:r>
        <w:rPr>
          <w:b/>
        </w:rPr>
        <w:t xml:space="preserve">СОДЕРЖАНИЕ:</w:t>
      </w:r>
      <w:r/>
    </w:p>
    <w:p>
      <w:pPr>
        <w:pStyle w:val="895"/>
      </w:pPr>
      <w:r>
        <w:t xml:space="preserve">1. Основные понятия </w:t>
      </w:r>
      <w:r/>
    </w:p>
    <w:p>
      <w:pPr>
        <w:pStyle w:val="895"/>
      </w:pPr>
      <w:r>
        <w:t xml:space="preserve">2. Правовое регулирование </w:t>
      </w:r>
      <w:r/>
    </w:p>
    <w:p>
      <w:pPr>
        <w:pStyle w:val="895"/>
      </w:pPr>
      <w:r>
        <w:t xml:space="preserve">3. Сведения о продаже</w:t>
      </w:r>
      <w:r/>
    </w:p>
    <w:p>
      <w:pPr>
        <w:pStyle w:val="895"/>
      </w:pPr>
      <w:r>
        <w:t xml:space="preserve">4. Место, сроки подачи (приема) заявления и продажи имущества</w:t>
      </w:r>
      <w:r/>
    </w:p>
    <w:p>
      <w:pPr>
        <w:pStyle w:val="895"/>
      </w:pPr>
      <w:r>
        <w:t xml:space="preserve">5. Порядок подачи (приема) и отзыва заявления </w:t>
      </w:r>
      <w:r/>
    </w:p>
    <w:p>
      <w:pPr>
        <w:pStyle w:val="895"/>
      </w:pPr>
      <w:r>
        <w:t xml:space="preserve">6. Перечень документов, представляемых Покупателем, и требования к их оформлению </w:t>
      </w:r>
      <w:r/>
    </w:p>
    <w:p>
      <w:pPr>
        <w:pStyle w:val="895"/>
      </w:pPr>
      <w:r>
        <w:t xml:space="preserve">7. Ограничения участия в Продаже отдельных категорий физических и юридических лиц </w:t>
      </w:r>
      <w:r/>
    </w:p>
    <w:p>
      <w:pPr>
        <w:pStyle w:val="895"/>
      </w:pPr>
      <w:r>
        <w:t xml:space="preserve">8. Заключительные положения</w:t>
      </w:r>
      <w:r/>
    </w:p>
    <w:p>
      <w:pPr>
        <w:pStyle w:val="895"/>
      </w:pPr>
      <w:r>
        <w:br w:type="page" w:clear="all"/>
      </w:r>
      <w:r/>
    </w:p>
    <w:p>
      <w:pPr>
        <w:pStyle w:val="916"/>
        <w:ind w:right="57"/>
        <w:jc w:val="center"/>
        <w:spacing w:before="0" w:after="120" w:line="360" w:lineRule="auto"/>
        <w:tabs>
          <w:tab w:val="left" w:pos="709" w:leader="none"/>
          <w:tab w:val="left" w:pos="3544" w:leader="none"/>
          <w:tab w:val="left" w:pos="5103" w:leader="none"/>
        </w:tabs>
        <w:rPr>
          <w:b/>
        </w:rPr>
      </w:pPr>
      <w:r>
        <w:rPr>
          <w:b/>
        </w:rPr>
        <w:t xml:space="preserve">1. Основные понятия</w:t>
      </w:r>
      <w:r>
        <w:rPr>
          <w:b/>
        </w:rPr>
      </w:r>
      <w:r>
        <w:rPr>
          <w:b/>
        </w:rPr>
      </w:r>
    </w:p>
    <w:p>
      <w:pPr>
        <w:pStyle w:val="916"/>
        <w:ind w:right="57" w:firstLine="709"/>
      </w:pPr>
      <w:r>
        <w:rPr>
          <w:b/>
        </w:rPr>
        <w:t xml:space="preserve">Объект продажи (объекты)</w:t>
      </w:r>
      <w:r>
        <w:t xml:space="preserve"> – доля в праве общей долевой собственности, находящаяся в собственности Российской Федерации, которая передается по договору купли-продажи имущества (далее – Имущество).</w:t>
      </w:r>
      <w:r/>
    </w:p>
    <w:p>
      <w:pPr>
        <w:pStyle w:val="895"/>
        <w:ind w:right="57" w:firstLine="709"/>
        <w:jc w:val="both"/>
      </w:pPr>
      <w:r>
        <w:rPr>
          <w:b/>
        </w:rPr>
        <w:t xml:space="preserve">Информационное сообщение о проведении продажи путем реализации преимущественного права покупки владельцем доли в праве общей долевой собственности </w:t>
      </w:r>
      <w:r>
        <w:t xml:space="preserve">(д</w:t>
      </w:r>
      <w:r>
        <w:t xml:space="preserve">алее – Информационное сообщение) - комплект документов, содержащий сведения о проведении продажи, условиях и сроках подписания договора купли-продажи Имущества, иных существенных условиях, включая проект договора купли-продажи имущества и другие документы.</w:t>
      </w:r>
      <w:r/>
    </w:p>
    <w:p>
      <w:pPr>
        <w:pStyle w:val="895"/>
        <w:ind w:right="57" w:firstLine="709"/>
        <w:jc w:val="both"/>
      </w:pPr>
      <w:r>
        <w:rPr>
          <w:b/>
        </w:rPr>
        <w:t xml:space="preserve">Продавец – </w:t>
      </w:r>
      <w:r>
        <w:t xml:space="preserve">Межрегиональное территориальное управление Федерального агентства по управлению государственным имуществом в Челябинской и Курганской областях (МТУ Росимущества в Челябинской и Курганской областях).</w:t>
      </w:r>
      <w:r/>
    </w:p>
    <w:p>
      <w:pPr>
        <w:pStyle w:val="916"/>
        <w:ind w:right="57" w:firstLine="709"/>
      </w:pPr>
      <w:r>
        <w:rPr>
          <w:b/>
        </w:rPr>
        <w:t xml:space="preserve">Заявление </w:t>
      </w:r>
      <w:r>
        <w:t xml:space="preserve">– комплект документов, представленный Покупателем в срок, который установлен в Информационном сообщении. </w:t>
      </w:r>
      <w:r/>
    </w:p>
    <w:p>
      <w:pPr>
        <w:pStyle w:val="933"/>
        <w:ind w:firstLine="709"/>
        <w:jc w:val="both"/>
        <w:spacing w:before="0" w:beforeAutospacing="0" w:after="0" w:afterAutospacing="0"/>
      </w:pPr>
      <w:r>
        <w:rPr>
          <w:b/>
        </w:rPr>
        <w:t xml:space="preserve">Покупатель </w:t>
      </w:r>
      <w:r>
        <w:t xml:space="preserve">– Физическое или Юридическое лицо, владелец доли в праве общей долевой собственности на объект недвижимого Имущества.</w:t>
      </w:r>
      <w:r/>
    </w:p>
    <w:p>
      <w:pPr>
        <w:pStyle w:val="916"/>
        <w:ind w:right="57" w:firstLine="709"/>
        <w:spacing w:line="264" w:lineRule="auto"/>
      </w:pPr>
      <w:r>
        <w:rPr>
          <w:b/>
        </w:rPr>
        <w:t xml:space="preserve">Официальный сайт по продаже имущества</w:t>
      </w:r>
      <w:r>
        <w:t xml:space="preserve"> - официальный сайт Росимущества в сети Интернет </w:t>
      </w:r>
      <w:hyperlink r:id="rId11" w:tooltip="http://www.rosim.ru/" w:history="1">
        <w:r>
          <w:t xml:space="preserve">www.rosim.gov.ru</w:t>
        </w:r>
      </w:hyperlink>
      <w:r>
        <w:t xml:space="preserve"> .</w:t>
      </w:r>
      <w:r/>
    </w:p>
    <w:p>
      <w:pPr>
        <w:pStyle w:val="895"/>
        <w:rPr>
          <w:b/>
        </w:rPr>
      </w:pPr>
      <w:r>
        <w:rPr>
          <w:b/>
        </w:rPr>
      </w:r>
      <w:r>
        <w:rPr>
          <w:b/>
        </w:rPr>
      </w:r>
      <w:r>
        <w:rPr>
          <w:b/>
        </w:rPr>
      </w:r>
    </w:p>
    <w:p>
      <w:pPr>
        <w:pStyle w:val="916"/>
        <w:ind w:right="57"/>
        <w:jc w:val="center"/>
        <w:spacing w:line="264" w:lineRule="auto"/>
        <w:tabs>
          <w:tab w:val="left" w:pos="709" w:leader="none"/>
          <w:tab w:val="left" w:pos="1701" w:leader="none"/>
          <w:tab w:val="left" w:pos="3686" w:leader="none"/>
        </w:tabs>
        <w:rPr>
          <w:b/>
        </w:rPr>
      </w:pPr>
      <w:r>
        <w:rPr>
          <w:b/>
        </w:rPr>
        <w:t xml:space="preserve">2. Правовое регулирование</w:t>
      </w:r>
      <w:r>
        <w:rPr>
          <w:b/>
        </w:rPr>
      </w:r>
      <w:r>
        <w:rPr>
          <w:b/>
        </w:rPr>
      </w:r>
      <w:r>
        <w:rPr>
          <w:highlight w:val="none"/>
        </w:rPr>
      </w:r>
      <w:r>
        <w:rPr>
          <w:highlight w:val="none"/>
        </w:rPr>
      </w:r>
      <w:r>
        <w:rPr>
          <w:b/>
        </w:rPr>
      </w:r>
    </w:p>
    <w:p>
      <w:pPr>
        <w:pStyle w:val="895"/>
        <w:ind w:right="57" w:firstLine="709"/>
        <w:jc w:val="both"/>
        <w:rPr>
          <w:highlight w:val="none"/>
        </w:rPr>
      </w:pPr>
      <w:r>
        <w:t xml:space="preserve">Продажа проводится в соответствии с:</w:t>
      </w:r>
      <w:r/>
    </w:p>
    <w:p>
      <w:pPr>
        <w:pStyle w:val="895"/>
        <w:ind w:right="57" w:firstLine="709"/>
        <w:jc w:val="both"/>
      </w:pPr>
      <w:r>
        <w:t xml:space="preserve">- Гражданским кодексом Российской Федерации;</w:t>
      </w:r>
      <w:r/>
    </w:p>
    <w:p>
      <w:pPr>
        <w:pStyle w:val="895"/>
        <w:ind w:right="57" w:firstLine="709"/>
        <w:jc w:val="both"/>
      </w:pPr>
      <w:r>
        <w:t xml:space="preserve">- Федеральным законом от 21 декабря 2001 г. № 178-ФЗ «О приватизации государственного и муниципального имущества»;</w:t>
      </w:r>
      <w:r/>
    </w:p>
    <w:p>
      <w:pPr>
        <w:ind w:firstLine="709"/>
      </w:pPr>
      <w:r>
        <w:rPr>
          <w:highlight w:val="none"/>
        </w:rPr>
        <w:t xml:space="preserve">- распоряжением </w:t>
      </w:r>
      <w:r>
        <w:t xml:space="preserve">Росимущества</w:t>
      </w:r>
      <w:r>
        <w:t xml:space="preserve"> от 05.06.2026 № 1399-р;</w:t>
      </w:r>
      <w:r>
        <w:rPr>
          <w:highlight w:val="none"/>
        </w:rPr>
      </w:r>
    </w:p>
    <w:p>
      <w:pPr>
        <w:pStyle w:val="895"/>
        <w:ind w:firstLine="709"/>
        <w:rPr>
          <w:highlight w:val="none"/>
        </w:rPr>
      </w:pPr>
      <w:r>
        <w:t xml:space="preserve">- распоряжением МТУ Росимущества в Челябинской и Курганской областях  об  условиях приватизации от 29.06.2026 № 74-421-р;</w:t>
      </w:r>
      <w:r/>
    </w:p>
    <w:p>
      <w:pPr>
        <w:pStyle w:val="895"/>
        <w:ind w:firstLine="709"/>
      </w:pPr>
      <w:r>
        <w:t xml:space="preserve">- иными нормативными правовыми актами Российской Федерации.</w:t>
      </w:r>
      <w:r/>
    </w:p>
    <w:p>
      <w:pPr>
        <w:pStyle w:val="916"/>
        <w:ind w:right="57"/>
        <w:jc w:val="left"/>
        <w:tabs>
          <w:tab w:val="clear" w:pos="709" w:leader="none"/>
          <w:tab w:val="left" w:pos="3686" w:leader="none"/>
        </w:tabs>
        <w:rPr>
          <w:b/>
        </w:rPr>
      </w:pPr>
      <w:r>
        <w:rPr>
          <w:b/>
        </w:rPr>
      </w:r>
      <w:r>
        <w:rPr>
          <w:b/>
        </w:rPr>
      </w:r>
      <w:r>
        <w:rPr>
          <w:b/>
        </w:rPr>
      </w:r>
    </w:p>
    <w:p>
      <w:pPr>
        <w:pStyle w:val="916"/>
        <w:ind w:right="57"/>
        <w:jc w:val="left"/>
        <w:spacing w:before="0" w:after="120" w:line="264" w:lineRule="auto"/>
        <w:tabs>
          <w:tab w:val="clear" w:pos="709" w:leader="none"/>
          <w:tab w:val="left" w:pos="3686" w:leader="none"/>
        </w:tabs>
        <w:rPr>
          <w:b/>
        </w:rPr>
      </w:pPr>
      <w:r>
        <w:rPr>
          <w:b/>
        </w:rPr>
        <w:tab/>
        <w:t xml:space="preserve">3. Сведения о продаже</w:t>
      </w:r>
      <w:r>
        <w:rPr>
          <w:b/>
        </w:rPr>
      </w:r>
      <w:r>
        <w:rPr>
          <w:b/>
        </w:rPr>
      </w:r>
    </w:p>
    <w:p>
      <w:pPr>
        <w:pStyle w:val="937"/>
        <w:ind w:firstLine="709"/>
        <w:jc w:val="both"/>
      </w:pPr>
      <w:r>
        <w:rPr>
          <w:b/>
          <w:iCs/>
        </w:rPr>
        <w:t xml:space="preserve">3.1. </w:t>
      </w:r>
      <w:r>
        <w:rPr>
          <w:b/>
        </w:rPr>
        <w:t xml:space="preserve">Основание продажи – </w:t>
      </w:r>
      <w:r>
        <w:rPr>
          <w:b w:val="0"/>
          <w:bCs w:val="0"/>
        </w:rPr>
        <w:t xml:space="preserve">распоряжение Росимущества от 05.06.2026 № 1399-р «О внесении изменений в приложение к распоряжению Росимущества от 02.09.2025 № 1767-р «Об утверждении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на 2026 - 2028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 </w:t>
      </w:r>
      <w:r>
        <w:rPr>
          <w:color w:val="auto"/>
        </w:rPr>
        <w:t xml:space="preserve">распоряжение МТУ Росимущества в Челябинской и Курганской областях от 29.07.2026 № 74-421-р «</w:t>
      </w:r>
      <w:r>
        <w:rPr>
          <w:color w:val="auto"/>
        </w:rPr>
        <w:t xml:space="preserve">Об условиях приватизации 1/3 доли в праве общей долевой собственности </w:t>
      </w:r>
      <w:r>
        <w:rPr>
          <w:color w:val="auto"/>
        </w:rPr>
      </w:r>
      <w:r>
        <w:rPr>
          <w:color w:val="auto"/>
        </w:rPr>
        <w:t xml:space="preserve">на нежилое здание - спальный корпус с надстройкой 2-го этажа с мансардой </w:t>
      </w:r>
      <w:r>
        <w:rPr>
          <w:color w:val="auto"/>
        </w:rPr>
      </w:r>
      <w:r>
        <w:rPr>
          <w:color w:val="auto"/>
        </w:rPr>
      </w:r>
      <w:r>
        <w:rPr>
          <w:color w:val="auto"/>
        </w:rPr>
        <w:t xml:space="preserve">кадастровый номер: 74:02:0814001:1473, общей площадью 293,1 кв.м, адрес </w:t>
      </w:r>
      <w:r>
        <w:rPr>
          <w:color w:val="auto"/>
        </w:rPr>
      </w:r>
      <w:r>
        <w:rPr>
          <w:color w:val="auto"/>
        </w:rPr>
      </w:r>
      <w:r>
        <w:rPr>
          <w:color w:val="auto"/>
        </w:rPr>
        <w:t xml:space="preserve">объекта: Российская Федерация, Челябинская область, муниципальный район </w:t>
      </w:r>
      <w:r>
        <w:rPr>
          <w:color w:val="auto"/>
        </w:rPr>
      </w:r>
      <w:r>
        <w:rPr>
          <w:color w:val="auto"/>
        </w:rPr>
      </w:r>
      <w:r>
        <w:rPr>
          <w:color w:val="auto"/>
        </w:rPr>
        <w:t xml:space="preserve">Аргаяшский, сельское поселение Кузнецкое, территория база отдыха </w:t>
      </w:r>
      <w:r>
        <w:rPr>
          <w:color w:val="auto"/>
        </w:rPr>
      </w:r>
      <w:r>
        <w:rPr>
          <w:color w:val="auto"/>
        </w:rPr>
      </w:r>
      <w:r>
        <w:rPr>
          <w:color w:val="auto"/>
        </w:rPr>
        <w:t xml:space="preserve">Светлячок, здание 4</w:t>
      </w:r>
      <w:r>
        <w:rPr>
          <w:color w:val="auto"/>
        </w:rPr>
      </w:r>
      <w:r>
        <w:rPr>
          <w:color w:val="auto"/>
        </w:rPr>
      </w:r>
      <w:r>
        <w:rPr>
          <w:color w:val="auto"/>
        </w:rPr>
        <w:t xml:space="preserve">».</w:t>
      </w:r>
      <w:bookmarkStart w:id="0" w:name="_GoBack"/>
      <w:r/>
      <w:bookmarkEnd w:id="0"/>
      <w:r>
        <w:rPr>
          <w:color w:val="auto"/>
        </w:rPr>
      </w:r>
      <w:r/>
      <w:r>
        <w:rPr>
          <w:color w:val="auto"/>
        </w:rPr>
      </w:r>
    </w:p>
    <w:p>
      <w:pPr>
        <w:pStyle w:val="895"/>
        <w:ind w:firstLine="709"/>
        <w:jc w:val="both"/>
        <w:tabs>
          <w:tab w:val="left" w:pos="0" w:leader="none"/>
          <w:tab w:val="clear" w:pos="709" w:leader="none"/>
        </w:tabs>
      </w:pPr>
      <w:r>
        <w:rPr>
          <w:b/>
        </w:rPr>
        <w:t xml:space="preserve">3.2. Собственник выставляемого на продажу Имущества</w:t>
      </w:r>
      <w:r>
        <w:t xml:space="preserve"> </w:t>
      </w:r>
      <w:r>
        <w:rPr>
          <w:b/>
        </w:rPr>
        <w:t xml:space="preserve">-</w:t>
      </w:r>
      <w:r>
        <w:t xml:space="preserve"> Российская Федерация.</w:t>
      </w:r>
      <w:r/>
    </w:p>
    <w:p>
      <w:pPr>
        <w:pStyle w:val="920"/>
        <w:ind w:left="0" w:firstLine="709"/>
        <w:tabs>
          <w:tab w:val="left" w:pos="0" w:leader="none"/>
          <w:tab w:val="clear" w:pos="284" w:leader="none"/>
        </w:tabs>
        <w:rPr>
          <w:b/>
          <w:bCs/>
          <w:iCs/>
        </w:rPr>
      </w:pPr>
      <w:r>
        <w:rPr>
          <w:b/>
          <w:bCs/>
          <w:iCs/>
        </w:rPr>
        <w:t xml:space="preserve">3.3. Продавец:</w:t>
      </w:r>
      <w:r>
        <w:rPr>
          <w:b/>
          <w:bCs/>
          <w:iCs/>
        </w:rPr>
      </w:r>
      <w:r>
        <w:rPr>
          <w:b/>
          <w:bCs/>
          <w:iCs/>
        </w:rPr>
      </w:r>
    </w:p>
    <w:p>
      <w:pPr>
        <w:pStyle w:val="920"/>
        <w:ind w:left="0" w:right="57" w:firstLine="709"/>
        <w:tabs>
          <w:tab w:val="left" w:pos="0" w:leader="none"/>
          <w:tab w:val="clear" w:pos="284" w:leader="none"/>
        </w:tabs>
      </w:pPr>
      <w:r>
        <w:rPr>
          <w:b/>
          <w:bCs/>
          <w:iCs/>
        </w:rPr>
        <w:t xml:space="preserve">Наименование</w:t>
      </w:r>
      <w:r>
        <w:rPr>
          <w:bCs/>
          <w:iCs/>
        </w:rPr>
        <w:t xml:space="preserve"> – </w:t>
      </w:r>
      <w:r>
        <w:t xml:space="preserve">Межрегиональное территориальное управление Федерального агентства по управлению государственным имуществом в Челябинской и Курганской областях (МТУ Росимущества в Челябинской и Курганской областях)</w:t>
      </w:r>
      <w:r>
        <w:rPr>
          <w:bCs/>
          <w:iCs/>
        </w:rPr>
        <w:t xml:space="preserve">.</w:t>
      </w:r>
      <w:r/>
    </w:p>
    <w:p>
      <w:pPr>
        <w:pStyle w:val="920"/>
        <w:ind w:left="0" w:right="57" w:firstLine="709"/>
        <w:tabs>
          <w:tab w:val="left" w:pos="0" w:leader="none"/>
          <w:tab w:val="clear" w:pos="284" w:leader="none"/>
        </w:tabs>
      </w:pPr>
      <w:r>
        <w:t xml:space="preserve">Адрес – 454091, Челябинская область, г. Челябинск, пр. Ленина, д.59.</w:t>
      </w:r>
      <w:r/>
    </w:p>
    <w:p>
      <w:pPr>
        <w:pStyle w:val="920"/>
        <w:ind w:left="0" w:right="57" w:firstLine="709"/>
        <w:tabs>
          <w:tab w:val="left" w:pos="0" w:leader="none"/>
          <w:tab w:val="clear" w:pos="284" w:leader="none"/>
        </w:tabs>
        <w:rPr>
          <w:rFonts w:eastAsia="Calibri" w:eastAsiaTheme="minorHAnsi"/>
          <w:u w:val="single"/>
          <w:lang w:eastAsia="en-US"/>
        </w:rPr>
      </w:pPr>
      <w:r>
        <w:t xml:space="preserve">Сайт – </w:t>
      </w:r>
      <w:hyperlink r:id="rId12" w:tooltip="https://tu74.rosim.ru/" w:history="1">
        <w:r>
          <w:rPr>
            <w:rStyle w:val="908"/>
            <w:rFonts w:eastAsia="Calibri" w:eastAsiaTheme="minorHAnsi"/>
            <w:lang w:eastAsia="en-US"/>
          </w:rPr>
          <w:t xml:space="preserve">https://tu74.rosim.ru/</w:t>
        </w:r>
      </w:hyperlink>
      <w:r>
        <w:rPr>
          <w:rFonts w:eastAsia="Calibri" w:eastAsiaTheme="minorHAnsi"/>
          <w:u w:val="single"/>
          <w:lang w:eastAsia="en-US"/>
        </w:rPr>
      </w:r>
      <w:r>
        <w:rPr>
          <w:rFonts w:eastAsia="Calibri" w:eastAsiaTheme="minorHAnsi"/>
          <w:u w:val="single"/>
          <w:lang w:eastAsia="en-US"/>
        </w:rPr>
      </w:r>
    </w:p>
    <w:p>
      <w:pPr>
        <w:pStyle w:val="920"/>
        <w:ind w:left="0" w:right="57" w:firstLine="709"/>
        <w:tabs>
          <w:tab w:val="left" w:pos="0" w:leader="none"/>
          <w:tab w:val="clear" w:pos="284" w:leader="none"/>
        </w:tabs>
      </w:pPr>
      <w:r>
        <w:t xml:space="preserve">Телефон – (351) 263-92-86.</w:t>
      </w:r>
      <w:r/>
    </w:p>
    <w:p>
      <w:pPr>
        <w:pStyle w:val="920"/>
        <w:ind w:left="0" w:firstLine="709"/>
        <w:tabs>
          <w:tab w:val="left" w:pos="0" w:leader="none"/>
          <w:tab w:val="clear" w:pos="284" w:leader="none"/>
        </w:tabs>
      </w:pPr>
      <w:r>
        <w:rPr>
          <w:b/>
        </w:rPr>
        <w:t xml:space="preserve">3.4. Форма продажи (способ приватизации)</w:t>
      </w:r>
      <w:r>
        <w:t xml:space="preserve"> – Реализация преимущественного права покупки владельцем доли в праве общей долевой собственности.</w:t>
      </w:r>
      <w:r/>
    </w:p>
    <w:p>
      <w:pPr>
        <w:pStyle w:val="920"/>
        <w:ind w:left="0" w:firstLine="0"/>
        <w:spacing w:line="264" w:lineRule="auto"/>
        <w:tabs>
          <w:tab w:val="left" w:pos="0" w:leader="none"/>
          <w:tab w:val="clear" w:pos="284" w:leader="none"/>
        </w:tabs>
        <w:rPr>
          <w:b/>
          <w:iCs/>
        </w:rPr>
      </w:pPr>
      <w:r>
        <w:rPr>
          <w:b/>
          <w:iCs/>
        </w:rPr>
      </w:r>
      <w:r>
        <w:rPr>
          <w:b/>
          <w:iCs/>
        </w:rPr>
      </w:r>
      <w:r>
        <w:rPr>
          <w:b/>
          <w:iCs/>
        </w:rPr>
      </w:r>
    </w:p>
    <w:p>
      <w:pPr>
        <w:pStyle w:val="920"/>
        <w:ind w:left="0" w:firstLine="709"/>
        <w:spacing w:line="264" w:lineRule="auto"/>
        <w:tabs>
          <w:tab w:val="left" w:pos="0" w:leader="none"/>
          <w:tab w:val="clear" w:pos="284" w:leader="none"/>
        </w:tabs>
        <w:rPr>
          <w:b/>
          <w:iCs/>
        </w:rPr>
      </w:pPr>
      <w:r>
        <w:rPr>
          <w:b/>
          <w:iCs/>
        </w:rPr>
        <w:t xml:space="preserve">3.5. Сведения об Имуществе, выставляемом на продажу:</w:t>
      </w:r>
      <w:r>
        <w:rPr>
          <w:b/>
          <w:iCs/>
        </w:rPr>
      </w:r>
      <w:r>
        <w:rPr>
          <w:b/>
          <w:iCs/>
        </w:rPr>
      </w:r>
    </w:p>
    <w:p>
      <w:pPr>
        <w:pStyle w:val="920"/>
        <w:spacing w:line="264" w:lineRule="auto"/>
        <w:tabs>
          <w:tab w:val="left" w:pos="0" w:leader="none"/>
          <w:tab w:val="clear" w:pos="284" w:leader="none"/>
        </w:tabs>
        <w:rPr>
          <w:b/>
          <w:iCs/>
          <w:sz w:val="16"/>
          <w:szCs w:val="16"/>
        </w:rPr>
      </w:pPr>
      <w:r>
        <w:rPr>
          <w:b/>
          <w:iCs/>
          <w:sz w:val="16"/>
          <w:szCs w:val="16"/>
        </w:rPr>
      </w:r>
      <w:r>
        <w:rPr>
          <w:b/>
          <w:iCs/>
          <w:sz w:val="16"/>
          <w:szCs w:val="16"/>
        </w:rPr>
      </w:r>
      <w:r>
        <w:rPr>
          <w:b/>
          <w:iCs/>
          <w:sz w:val="16"/>
          <w:szCs w:val="16"/>
        </w:rPr>
      </w:r>
    </w:p>
    <w:tbl>
      <w:tblPr>
        <w:tblStyle w:val="951"/>
        <w:tblpPr w:horzAnchor="margin" w:tblpXSpec="center" w:vertAnchor="text" w:tblpY="152" w:leftFromText="180" w:topFromText="0" w:rightFromText="180" w:bottomFromText="0"/>
        <w:tblW w:w="9747" w:type="dxa"/>
        <w:jc w:val="center"/>
        <w:tblInd w:w="0" w:type="dxa"/>
        <w:tblLayout w:type="fixed"/>
        <w:tblCellMar>
          <w:left w:w="108" w:type="dxa"/>
          <w:top w:w="0" w:type="dxa"/>
          <w:right w:w="108" w:type="dxa"/>
          <w:bottom w:w="0" w:type="dxa"/>
        </w:tblCellMar>
        <w:tblLook w:val="04A0" w:firstRow="1" w:lastRow="0" w:firstColumn="1" w:lastColumn="0" w:noHBand="0" w:noVBand="1"/>
      </w:tblPr>
      <w:tblGrid>
        <w:gridCol w:w="3652"/>
        <w:gridCol w:w="6094"/>
      </w:tblGrid>
      <w:tr>
        <w:tblPrEx/>
        <w:trPr>
          <w:trHeight w:val="561"/>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Описание:</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pPr>
            <w:r>
              <w:rPr>
                <w:rFonts w:eastAsia="Calibri" w:cs="Times New Roman"/>
                <w:sz w:val="24"/>
                <w:szCs w:val="24"/>
                <w:lang w:val="ru-RU" w:eastAsia="en-US" w:bidi="ar-SA"/>
              </w:rPr>
              <w:t xml:space="preserve">Доля в праве общей долевой собственности на нежилое здание - </w:t>
            </w:r>
            <w:r>
              <w:rPr>
                <w:rFonts w:eastAsia="Calibri" w:cs="Times New Roman"/>
                <w:sz w:val="24"/>
                <w:szCs w:val="24"/>
                <w:lang w:val="ru-RU" w:eastAsia="en-US" w:bidi="ar-SA"/>
              </w:rPr>
              <w:t xml:space="preserve">спальный корпус с надстройкой 2-го этажа с мансардой</w:t>
            </w:r>
            <w:r>
              <w:rPr>
                <w:rFonts w:eastAsia="Calibri" w:cs="Times New Roman"/>
                <w:sz w:val="24"/>
                <w:szCs w:val="24"/>
                <w:lang w:val="ru-RU" w:eastAsia="en-US" w:bidi="ar-SA"/>
              </w:rPr>
              <w:t xml:space="preserve">, расположенное по адресу: </w:t>
            </w:r>
            <w:r>
              <w:rPr>
                <w:rFonts w:eastAsia="Calibri" w:cs="Times New Roman"/>
                <w:sz w:val="24"/>
                <w:szCs w:val="24"/>
                <w:lang w:val="ru-RU" w:eastAsia="en-US" w:bidi="ar-SA"/>
              </w:rPr>
              <w:t xml:space="preserve">Российская Федерация, Челябинская область, муниципальный район Аргаяшский, сельское поселение </w:t>
            </w:r>
            <w:r>
              <w:rPr>
                <w:rFonts w:eastAsia="Calibri" w:cs="Times New Roman"/>
                <w:sz w:val="24"/>
                <w:szCs w:val="24"/>
                <w:lang w:val="ru-RU" w:eastAsia="en-US" w:bidi="ar-SA"/>
              </w:rPr>
              <w:t xml:space="preserve">Кузнецкое, территория базы отдыха Светлячок, здание 4</w:t>
            </w:r>
            <w:r/>
            <w:r/>
          </w:p>
        </w:tc>
      </w:tr>
      <w:tr>
        <w:tblPrEx/>
        <w:trPr>
          <w:trHeight w:val="286"/>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Размер доли:</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1/3</w:t>
            </w:r>
            <w:r>
              <w:rPr>
                <w:rFonts w:ascii="Times New Roman" w:hAnsi="Times New Roman" w:cs="Times New Roman"/>
                <w:sz w:val="24"/>
                <w:szCs w:val="24"/>
              </w:rPr>
            </w:r>
            <w:r>
              <w:rPr>
                <w:rFonts w:ascii="Times New Roman" w:hAnsi="Times New Roman" w:cs="Times New Roman"/>
                <w:sz w:val="24"/>
                <w:szCs w:val="24"/>
              </w:rPr>
            </w:r>
          </w:p>
        </w:tc>
      </w:tr>
      <w:tr>
        <w:tblPrEx/>
        <w:trPr>
          <w:trHeight w:val="23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Обременения:</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Отсутствуют</w:t>
            </w:r>
            <w:r>
              <w:rPr>
                <w:rFonts w:ascii="Times New Roman" w:hAnsi="Times New Roman" w:cs="Times New Roman"/>
                <w:sz w:val="24"/>
                <w:szCs w:val="24"/>
              </w:rPr>
            </w:r>
            <w:r>
              <w:rPr>
                <w:rFonts w:ascii="Times New Roman" w:hAnsi="Times New Roman" w:cs="Times New Roman"/>
                <w:sz w:val="24"/>
                <w:szCs w:val="24"/>
              </w:rPr>
            </w:r>
          </w:p>
        </w:tc>
      </w:tr>
      <w:tr>
        <w:tblPrEx/>
        <w:trPr>
          <w:trHeight w:val="316"/>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Номер РФИ:</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П24740000001</w:t>
            </w:r>
            <w:r>
              <w:rPr>
                <w:rFonts w:ascii="Times New Roman" w:hAnsi="Times New Roman" w:cs="Times New Roman"/>
                <w:sz w:val="24"/>
                <w:szCs w:val="24"/>
              </w:rPr>
            </w:r>
            <w:r>
              <w:rPr>
                <w:rFonts w:ascii="Times New Roman" w:hAnsi="Times New Roman" w:cs="Times New Roman"/>
                <w:sz w:val="24"/>
                <w:szCs w:val="24"/>
              </w:rPr>
            </w:r>
          </w:p>
        </w:tc>
      </w:tr>
      <w:tr>
        <w:tblPrEx/>
        <w:trPr>
          <w:trHeight w:val="316"/>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Право:</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highlight w:val="white"/>
              </w:rPr>
            </w:pPr>
            <w:r>
              <w:rPr>
                <w:rFonts w:eastAsia="Calibri" w:cs="Times New Roman"/>
                <w:sz w:val="24"/>
                <w:szCs w:val="24"/>
                <w:highlight w:val="white"/>
                <w:lang w:val="ru-RU" w:eastAsia="en-US" w:bidi="ar-SA"/>
              </w:rPr>
              <w:t xml:space="preserve">Собственность РФ. Запись регистрации в ЕГРН</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895"/>
              <w:jc w:val="left"/>
              <w:spacing w:before="0" w:after="0"/>
              <w:widowControl/>
              <w:rPr>
                <w:rFonts w:ascii="Times New Roman" w:hAnsi="Times New Roman" w:cs="Times New Roman"/>
                <w:sz w:val="24"/>
                <w:szCs w:val="24"/>
                <w:highlight w:val="yellow"/>
              </w:rPr>
            </w:pPr>
            <w:r>
              <w:rPr>
                <w:rFonts w:eastAsia="Calibri" w:cs="Times New Roman"/>
                <w:sz w:val="24"/>
                <w:szCs w:val="24"/>
                <w:highlight w:val="white"/>
                <w:lang w:val="ru-RU" w:eastAsia="en-US" w:bidi="ar-SA"/>
              </w:rPr>
              <w:t xml:space="preserve">от 18.12.2008 № 74-74-02/057/2008-235 (общая долевая собственность)</w:t>
            </w:r>
            <w:r>
              <w:rPr>
                <w:rFonts w:ascii="Times New Roman" w:hAnsi="Times New Roman" w:cs="Times New Roman"/>
                <w:sz w:val="24"/>
                <w:szCs w:val="24"/>
                <w:highlight w:val="yellow"/>
              </w:rPr>
            </w:r>
            <w:r>
              <w:rPr>
                <w:rFonts w:ascii="Times New Roman" w:hAnsi="Times New Roman" w:cs="Times New Roman"/>
                <w:sz w:val="24"/>
                <w:szCs w:val="24"/>
                <w:highlight w:val="yellow"/>
              </w:rPr>
            </w:r>
          </w:p>
        </w:tc>
      </w:tr>
      <w:tr>
        <w:tblPrEx/>
        <w:trPr>
          <w:trHeight w:val="316"/>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Правоустанавливающие документы:</w:t>
            </w:r>
            <w:r>
              <w:rPr>
                <w:rFonts w:ascii="Times New Roman" w:hAnsi="Times New Roman" w:cs="Times New Roman"/>
                <w:sz w:val="24"/>
                <w:szCs w:val="24"/>
              </w:rPr>
            </w:r>
            <w:r>
              <w:rPr>
                <w:rFonts w:ascii="Times New Roman" w:hAnsi="Times New Roman" w:cs="Times New Roman"/>
                <w:sz w:val="24"/>
                <w:szCs w:val="24"/>
              </w:rPr>
            </w:r>
          </w:p>
        </w:tc>
        <w:tc>
          <w:tcPr>
            <w:tcW w:w="6094" w:type="dxa"/>
            <w:textDirection w:val="lrTb"/>
            <w:noWrap w:val="false"/>
          </w:tcPr>
          <w:p>
            <w:pPr>
              <w:pStyle w:val="895"/>
              <w:jc w:val="left"/>
              <w:spacing w:before="0" w:after="0"/>
              <w:widowControl/>
              <w:rPr>
                <w:rFonts w:ascii="Times New Roman" w:hAnsi="Times New Roman" w:cs="Times New Roman"/>
                <w:sz w:val="24"/>
                <w:szCs w:val="24"/>
                <w:highlight w:val="yellow"/>
              </w:rPr>
            </w:pPr>
            <w:r>
              <w:rPr>
                <w:rFonts w:eastAsia="Calibri" w:cs="Times New Roman"/>
                <w:sz w:val="24"/>
                <w:szCs w:val="24"/>
                <w:highlight w:val="white"/>
                <w:lang w:val="ru-RU" w:eastAsia="en-US" w:bidi="ar-SA"/>
              </w:rPr>
              <w:t xml:space="preserve">Свидетельство о государственной регистрации права от </w:t>
            </w:r>
            <w:r>
              <w:rPr>
                <w:rFonts w:eastAsia="Calibri" w:cs="Times New Roman"/>
                <w:sz w:val="24"/>
                <w:szCs w:val="24"/>
                <w:highlight w:val="white"/>
                <w:lang w:val="ru-RU" w:eastAsia="en-US" w:bidi="ar-SA"/>
              </w:rPr>
              <w:t xml:space="preserve">от 18.12.2008 № 74-74-02/057/2008-235 (общая долевая собственность)</w:t>
            </w:r>
            <w:r>
              <w:rPr>
                <w:rFonts w:ascii="Times New Roman" w:hAnsi="Times New Roman" w:cs="Times New Roman"/>
                <w:sz w:val="24"/>
                <w:szCs w:val="24"/>
                <w:highlight w:val="yellow"/>
              </w:rPr>
            </w:r>
            <w:r>
              <w:rPr>
                <w:rFonts w:ascii="Times New Roman" w:hAnsi="Times New Roman" w:cs="Times New Roman"/>
                <w:sz w:val="24"/>
                <w:szCs w:val="24"/>
                <w:highlight w:val="yellow"/>
              </w:rPr>
            </w:r>
          </w:p>
        </w:tc>
      </w:tr>
      <w:tr>
        <w:tblPrEx/>
        <w:trPr>
          <w:trHeight w:val="415"/>
        </w:trPr>
        <w:tc>
          <w:tcPr>
            <w:gridSpan w:val="2"/>
            <w:tcW w:w="9746" w:type="dxa"/>
            <w:vAlign w:val="center"/>
            <w:textDirection w:val="lrTb"/>
            <w:noWrap w:val="false"/>
          </w:tcPr>
          <w:p>
            <w:pPr>
              <w:pStyle w:val="895"/>
              <w:jc w:val="center"/>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Характеристики объекта недвижимости</w:t>
            </w:r>
            <w:r>
              <w:rPr>
                <w:rFonts w:ascii="Times New Roman" w:hAnsi="Times New Roman" w:cs="Times New Roman"/>
                <w:sz w:val="24"/>
                <w:szCs w:val="24"/>
              </w:rPr>
            </w:r>
            <w:r>
              <w:rPr>
                <w:rFonts w:ascii="Times New Roman" w:hAnsi="Times New Roman" w:cs="Times New Roman"/>
                <w:sz w:val="24"/>
                <w:szCs w:val="24"/>
              </w:rPr>
            </w:r>
          </w:p>
        </w:tc>
      </w:tr>
      <w:tr>
        <w:tblPrEx/>
        <w:trPr>
          <w:trHeight w:val="4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Наименование:</w:t>
            </w:r>
            <w:r>
              <w:rPr>
                <w:rFonts w:ascii="Times New Roman" w:hAnsi="Times New Roman" w:cs="Times New Roman"/>
                <w:sz w:val="24"/>
                <w:szCs w:val="24"/>
              </w:rPr>
            </w:r>
            <w:r>
              <w:rPr>
                <w:rFonts w:ascii="Times New Roman" w:hAnsi="Times New Roman" w:cs="Times New Roman"/>
                <w:sz w:val="24"/>
                <w:szCs w:val="24"/>
              </w:rPr>
            </w:r>
          </w:p>
        </w:tc>
        <w:tc>
          <w:tcPr>
            <w:tcW w:w="6094" w:type="dxa"/>
            <w:textDirection w:val="lrTb"/>
            <w:noWrap w:val="false"/>
          </w:tcPr>
          <w:p>
            <w:r>
              <w:rPr>
                <w:rFonts w:eastAsia="Calibri" w:cs="Times New Roman"/>
                <w:sz w:val="24"/>
                <w:szCs w:val="24"/>
                <w:lang w:val="ru-RU" w:eastAsia="en-US" w:bidi="ar-SA"/>
              </w:rPr>
              <w:t xml:space="preserve">Нежилое здание - </w:t>
            </w:r>
            <w:r>
              <w:rPr>
                <w:rFonts w:eastAsia="Calibri" w:cs="Times New Roman"/>
                <w:sz w:val="24"/>
                <w:szCs w:val="24"/>
                <w:lang w:val="ru-RU" w:eastAsia="en-US" w:bidi="ar-SA"/>
              </w:rPr>
              <w:t xml:space="preserve">спальный корпус с надстройкой 2-го этажа с мансардой</w:t>
            </w:r>
            <w:r>
              <w:rPr>
                <w:rFonts w:eastAsia="Calibri" w:cs="Times New Roman"/>
                <w:sz w:val="24"/>
                <w:szCs w:val="24"/>
                <w:lang w:val="ru-RU" w:eastAsia="en-US" w:bidi="ar-SA"/>
              </w:rPr>
              <w:t xml:space="preserve">, расположенное по адресу: </w:t>
            </w:r>
            <w:r>
              <w:rPr>
                <w:rFonts w:eastAsia="Calibri" w:cs="Times New Roman"/>
                <w:sz w:val="24"/>
                <w:szCs w:val="24"/>
                <w:lang w:val="ru-RU" w:eastAsia="en-US" w:bidi="ar-SA"/>
              </w:rPr>
              <w:t xml:space="preserve">Российская Федерация, Челябинская область, муниципальный район Аргаяшский, сельское поселение </w:t>
            </w:r>
            <w:r>
              <w:rPr>
                <w:rFonts w:eastAsia="Calibri" w:cs="Times New Roman"/>
                <w:sz w:val="24"/>
                <w:szCs w:val="24"/>
                <w:lang w:val="ru-RU" w:eastAsia="en-US" w:bidi="ar-SA"/>
              </w:rPr>
              <w:t xml:space="preserve">Кузнецкое, территория базы отдыха Светлячок, здание 4</w:t>
            </w:r>
            <w:r/>
            <w:r/>
          </w:p>
        </w:tc>
      </w:tr>
      <w:tr>
        <w:tblPrEx/>
        <w:trPr>
          <w:trHeight w:val="4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Кадастровый номер:</w:t>
            </w:r>
            <w:r>
              <w:rPr>
                <w:rFonts w:ascii="Times New Roman" w:hAnsi="Times New Roman" w:cs="Times New Roman"/>
                <w:sz w:val="24"/>
                <w:szCs w:val="24"/>
              </w:rPr>
            </w:r>
            <w:r>
              <w:rPr>
                <w:rFonts w:ascii="Times New Roman" w:hAnsi="Times New Roman" w:cs="Times New Roman"/>
                <w:sz w:val="24"/>
                <w:szCs w:val="24"/>
              </w:rPr>
            </w:r>
          </w:p>
        </w:tc>
        <w:tc>
          <w:tcPr>
            <w:tcW w:w="6094" w:type="dxa"/>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74:02:</w:t>
            </w:r>
            <w:r>
              <w:rPr>
                <w:rFonts w:eastAsia="Calibri" w:cs="Times New Roman"/>
                <w:sz w:val="24"/>
                <w:szCs w:val="24"/>
                <w:lang w:val="ru-RU" w:eastAsia="en-US" w:bidi="ar-SA"/>
              </w:rPr>
              <w:t xml:space="preserve">0814001:1473</w:t>
            </w:r>
            <w:r/>
            <w:r>
              <w:rPr>
                <w:rFonts w:eastAsia="Calibri" w:cs="Times New Roman"/>
                <w:sz w:val="24"/>
                <w:szCs w:val="24"/>
                <w:lang w:val="ru-RU" w:eastAsia="en-US" w:bidi="ar-SA"/>
              </w:rPr>
            </w:r>
            <w:r>
              <w:rPr>
                <w:rFonts w:ascii="Times New Roman" w:hAnsi="Times New Roman" w:cs="Times New Roman"/>
                <w:sz w:val="24"/>
                <w:szCs w:val="24"/>
              </w:rPr>
            </w:r>
          </w:p>
        </w:tc>
      </w:tr>
      <w:tr>
        <w:tblPrEx/>
        <w:trPr>
          <w:trHeight w:val="4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Площадь объекта (кв. м.):</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293,1</w:t>
            </w:r>
            <w:r>
              <w:rPr>
                <w:rFonts w:ascii="Times New Roman" w:hAnsi="Times New Roman" w:cs="Times New Roman"/>
                <w:sz w:val="24"/>
                <w:szCs w:val="24"/>
              </w:rPr>
            </w:r>
            <w:r>
              <w:rPr>
                <w:rFonts w:ascii="Times New Roman" w:hAnsi="Times New Roman" w:cs="Times New Roman"/>
                <w:sz w:val="24"/>
                <w:szCs w:val="24"/>
              </w:rPr>
            </w:r>
          </w:p>
        </w:tc>
      </w:tr>
      <w:tr>
        <w:tblPrEx/>
        <w:trPr>
          <w:trHeight w:val="4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Назначение:</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Нежилое здание</w:t>
            </w:r>
            <w:r>
              <w:rPr>
                <w:rFonts w:ascii="Times New Roman" w:hAnsi="Times New Roman" w:cs="Times New Roman"/>
                <w:sz w:val="24"/>
                <w:szCs w:val="24"/>
              </w:rPr>
            </w:r>
            <w:r>
              <w:rPr>
                <w:rFonts w:ascii="Times New Roman" w:hAnsi="Times New Roman" w:cs="Times New Roman"/>
                <w:sz w:val="24"/>
                <w:szCs w:val="24"/>
              </w:rPr>
            </w:r>
          </w:p>
        </w:tc>
      </w:tr>
      <w:tr>
        <w:tblPrEx/>
        <w:trPr>
          <w:trHeight w:val="4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Этаж (номер на поэтажном плане):</w:t>
            </w:r>
            <w:r>
              <w:rPr>
                <w:rFonts w:ascii="Times New Roman" w:hAnsi="Times New Roman" w:cs="Times New Roman"/>
                <w:sz w:val="24"/>
                <w:szCs w:val="24"/>
              </w:rPr>
            </w:r>
            <w:r>
              <w:rPr>
                <w:rFonts w:ascii="Times New Roman" w:hAnsi="Times New Roman" w:cs="Times New Roman"/>
                <w:sz w:val="24"/>
                <w:szCs w:val="24"/>
              </w:rPr>
            </w:r>
          </w:p>
        </w:tc>
        <w:tc>
          <w:tcPr>
            <w:tcW w:w="6094"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Этаж № 1-3</w:t>
            </w:r>
            <w:r>
              <w:rPr>
                <w:rFonts w:ascii="Times New Roman" w:hAnsi="Times New Roman" w:cs="Times New Roman"/>
                <w:sz w:val="24"/>
                <w:szCs w:val="24"/>
              </w:rPr>
            </w:r>
            <w:r>
              <w:rPr>
                <w:rFonts w:ascii="Times New Roman" w:hAnsi="Times New Roman" w:cs="Times New Roman"/>
                <w:sz w:val="24"/>
                <w:szCs w:val="24"/>
              </w:rPr>
            </w:r>
          </w:p>
        </w:tc>
      </w:tr>
      <w:tr>
        <w:tblPrEx/>
        <w:trPr>
          <w:trHeight w:val="40"/>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ОКН:</w:t>
            </w:r>
            <w:r>
              <w:rPr>
                <w:rFonts w:ascii="Times New Roman" w:hAnsi="Times New Roman" w:cs="Times New Roman"/>
                <w:sz w:val="24"/>
                <w:szCs w:val="24"/>
              </w:rPr>
            </w:r>
            <w:r>
              <w:rPr>
                <w:rFonts w:ascii="Times New Roman" w:hAnsi="Times New Roman" w:cs="Times New Roman"/>
                <w:sz w:val="24"/>
                <w:szCs w:val="24"/>
              </w:rPr>
            </w:r>
          </w:p>
        </w:tc>
        <w:tc>
          <w:tcPr>
            <w:tcW w:w="6094" w:type="dxa"/>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Как ОКН не зарегистрирован</w:t>
            </w:r>
            <w:r>
              <w:rPr>
                <w:rFonts w:ascii="Times New Roman" w:hAnsi="Times New Roman" w:cs="Times New Roman"/>
                <w:sz w:val="24"/>
                <w:szCs w:val="24"/>
              </w:rPr>
            </w:r>
            <w:r>
              <w:rPr>
                <w:rFonts w:ascii="Times New Roman" w:hAnsi="Times New Roman" w:cs="Times New Roman"/>
                <w:sz w:val="24"/>
                <w:szCs w:val="24"/>
              </w:rPr>
            </w:r>
          </w:p>
        </w:tc>
      </w:tr>
      <w:tr>
        <w:tblPrEx/>
        <w:trPr>
          <w:trHeight w:val="427"/>
        </w:trPr>
        <w:tc>
          <w:tcPr>
            <w:tcW w:w="3652" w:type="dxa"/>
            <w:vAlign w:val="center"/>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МЧС:</w:t>
            </w:r>
            <w:r>
              <w:rPr>
                <w:rFonts w:ascii="Times New Roman" w:hAnsi="Times New Roman" w:cs="Times New Roman"/>
                <w:sz w:val="24"/>
                <w:szCs w:val="24"/>
              </w:rPr>
            </w:r>
            <w:r>
              <w:rPr>
                <w:rFonts w:ascii="Times New Roman" w:hAnsi="Times New Roman" w:cs="Times New Roman"/>
                <w:sz w:val="24"/>
                <w:szCs w:val="24"/>
              </w:rPr>
            </w:r>
          </w:p>
        </w:tc>
        <w:tc>
          <w:tcPr>
            <w:tcW w:w="6094" w:type="dxa"/>
            <w:textDirection w:val="lrTb"/>
            <w:noWrap w:val="false"/>
          </w:tcPr>
          <w:p>
            <w:pPr>
              <w:pStyle w:val="895"/>
              <w:jc w:val="left"/>
              <w:spacing w:before="0" w:after="0"/>
              <w:widowControl/>
              <w:rPr>
                <w:rFonts w:ascii="Times New Roman" w:hAnsi="Times New Roman" w:cs="Times New Roman"/>
                <w:sz w:val="24"/>
                <w:szCs w:val="24"/>
              </w:rPr>
            </w:pPr>
            <w:r>
              <w:rPr>
                <w:rFonts w:eastAsia="Calibri" w:cs="Times New Roman"/>
                <w:sz w:val="24"/>
                <w:szCs w:val="24"/>
                <w:lang w:val="ru-RU" w:eastAsia="en-US" w:bidi="ar-SA"/>
              </w:rPr>
              <w:t xml:space="preserve">Как объект ГО не числится</w:t>
            </w:r>
            <w:r>
              <w:rPr>
                <w:rFonts w:ascii="Times New Roman" w:hAnsi="Times New Roman" w:cs="Times New Roman"/>
                <w:sz w:val="24"/>
                <w:szCs w:val="24"/>
              </w:rPr>
            </w:r>
            <w:r>
              <w:rPr>
                <w:rFonts w:ascii="Times New Roman" w:hAnsi="Times New Roman" w:cs="Times New Roman"/>
                <w:sz w:val="24"/>
                <w:szCs w:val="24"/>
              </w:rPr>
            </w:r>
          </w:p>
        </w:tc>
      </w:tr>
    </w:tbl>
    <w:p>
      <w:pPr>
        <w:pStyle w:val="920"/>
        <w:ind w:left="0" w:firstLine="0"/>
        <w:spacing w:line="264" w:lineRule="auto"/>
        <w:tabs>
          <w:tab w:val="left" w:pos="0" w:leader="none"/>
          <w:tab w:val="clear" w:pos="284" w:leader="none"/>
        </w:tabs>
        <w:rPr>
          <w:b/>
          <w:iCs/>
        </w:rPr>
      </w:pPr>
      <w:r>
        <w:rPr>
          <w:b/>
          <w:iCs/>
        </w:rPr>
      </w:r>
      <w:r>
        <w:rPr>
          <w:b/>
          <w:iCs/>
        </w:rPr>
      </w:r>
      <w:r>
        <w:rPr>
          <w:b/>
          <w:iCs/>
        </w:rPr>
      </w:r>
    </w:p>
    <w:p>
      <w:pPr>
        <w:pStyle w:val="920"/>
        <w:contextualSpacing w:val="0"/>
        <w:ind w:left="0" w:firstLine="709"/>
        <w:jc w:val="both"/>
        <w:tabs>
          <w:tab w:val="clear" w:pos="284" w:leader="none"/>
        </w:tabs>
        <w:rPr>
          <w:sz w:val="24"/>
          <w:szCs w:val="24"/>
        </w:rPr>
        <w:suppressLineNumbers w:val="0"/>
      </w:pPr>
      <w:r>
        <w:rPr>
          <w:b/>
          <w:bCs/>
        </w:rPr>
        <w:t xml:space="preserve">3.6 Цена продажи Имущества </w:t>
      </w:r>
      <w:r>
        <w:rPr>
          <w:bCs/>
        </w:rPr>
        <w:t xml:space="preserve">– </w:t>
      </w:r>
      <w:r>
        <w:rPr>
          <w:bCs/>
          <w:sz w:val="24"/>
          <w:szCs w:val="24"/>
          <w:lang w:bidi="ru-RU"/>
        </w:rPr>
        <w:t xml:space="preserve">360 819,17 (триста шестьдесят тысяч восемьсот девятнадцать) руб. 17 коп. без НДС.</w:t>
      </w:r>
      <w:r>
        <w:rPr>
          <w:sz w:val="24"/>
          <w:szCs w:val="24"/>
        </w:rPr>
        <w:t xml:space="preserve"> </w:t>
      </w:r>
      <w:r>
        <w:rPr>
          <w:sz w:val="24"/>
          <w:szCs w:val="24"/>
        </w:rPr>
      </w:r>
    </w:p>
    <w:p>
      <w:pPr>
        <w:pStyle w:val="920"/>
        <w:contextualSpacing w:val="0"/>
        <w:ind w:left="0" w:firstLine="709"/>
        <w:jc w:val="both"/>
        <w:rPr>
          <w:b/>
          <w:bCs/>
        </w:rPr>
        <w:suppressLineNumbers w:val="0"/>
      </w:pPr>
      <w:r>
        <w:rPr>
          <w:b/>
          <w:bCs/>
        </w:rPr>
        <w:t xml:space="preserve">3.7. Сведения о предыдущих торгах по продаже Имущества, объявленных в течение года, предшествующего его продаже.</w:t>
      </w:r>
      <w:r>
        <w:rPr>
          <w:b/>
          <w:bCs/>
        </w:rPr>
      </w:r>
      <w:r>
        <w:rPr>
          <w:b/>
          <w:bCs/>
        </w:rPr>
      </w:r>
    </w:p>
    <w:p>
      <w:pPr>
        <w:pStyle w:val="895"/>
        <w:ind w:firstLine="709"/>
        <w:jc w:val="both"/>
        <w:rPr>
          <w:bCs/>
        </w:rPr>
      </w:pPr>
      <w:r>
        <w:rPr>
          <w:bCs/>
        </w:rPr>
        <w:t xml:space="preserve">МТУ Росимущества в Челябинской и Курганской областях ранее не проводились продажи указанного имущества.</w:t>
      </w:r>
      <w:r>
        <w:rPr>
          <w:bCs/>
        </w:rPr>
      </w:r>
      <w:r>
        <w:rPr>
          <w:bCs/>
        </w:rPr>
      </w:r>
    </w:p>
    <w:p>
      <w:pPr>
        <w:pStyle w:val="895"/>
        <w:rPr>
          <w:b/>
          <w:bCs/>
          <w:color w:val="000000"/>
        </w:rPr>
      </w:pPr>
      <w:r>
        <w:rPr>
          <w:b/>
          <w:bCs/>
          <w:color w:val="000000"/>
        </w:rPr>
      </w:r>
      <w:r>
        <w:rPr>
          <w:b/>
          <w:bCs/>
          <w:color w:val="000000"/>
        </w:rPr>
      </w:r>
      <w:r>
        <w:rPr>
          <w:b/>
          <w:bCs/>
          <w:color w:val="000000"/>
        </w:rPr>
      </w:r>
    </w:p>
    <w:p>
      <w:pPr>
        <w:pStyle w:val="895"/>
        <w:jc w:val="center"/>
        <w:rPr>
          <w:b/>
          <w:bCs/>
          <w:color w:val="000000"/>
          <w:highlight w:val="none"/>
        </w:rPr>
      </w:pPr>
      <w:r>
        <w:rPr>
          <w:b/>
          <w:bCs/>
          <w:color w:val="000000"/>
        </w:rPr>
        <w:t xml:space="preserve">4. Место, сроки подачи (приема) заявлений и продажи имущества.</w:t>
      </w:r>
      <w:r>
        <w:rPr>
          <w:b/>
          <w:bCs/>
          <w:color w:val="000000"/>
          <w:highlight w:val="none"/>
        </w:rPr>
      </w:r>
      <w:r>
        <w:rPr>
          <w:b/>
          <w:bCs/>
          <w:color w:val="000000"/>
          <w:highlight w:val="none"/>
        </w:rPr>
      </w:r>
    </w:p>
    <w:p>
      <w:pPr>
        <w:rPr>
          <w:b/>
          <w:bCs/>
          <w:color w:val="000000"/>
        </w:rPr>
      </w:pPr>
      <w:r>
        <w:rPr>
          <w:b/>
          <w:bCs/>
          <w:color w:val="000000"/>
          <w:highlight w:val="none"/>
        </w:rPr>
      </w:r>
      <w:r>
        <w:rPr>
          <w:b/>
          <w:bCs/>
          <w:color w:val="000000"/>
          <w:highlight w:val="none"/>
        </w:rPr>
      </w:r>
      <w:r>
        <w:rPr>
          <w:b/>
          <w:bCs/>
          <w:color w:val="000000"/>
        </w:rPr>
      </w:r>
    </w:p>
    <w:p>
      <w:pPr>
        <w:pStyle w:val="920"/>
        <w:ind w:left="0" w:firstLine="709"/>
        <w:tabs>
          <w:tab w:val="clear" w:pos="284" w:leader="none"/>
          <w:tab w:val="left" w:pos="567" w:leader="none"/>
        </w:tabs>
        <w:rPr>
          <w:bCs/>
        </w:rPr>
      </w:pPr>
      <w:r>
        <w:rPr>
          <w:bCs/>
        </w:rPr>
        <w:t xml:space="preserve">4.1. Место подачи (приема) заявлений: г. Челябинск, ул. Ленина, д. 59, каб. 509.</w:t>
      </w:r>
      <w:r>
        <w:rPr>
          <w:bCs/>
        </w:rPr>
      </w:r>
      <w:r>
        <w:rPr>
          <w:bCs/>
        </w:rPr>
      </w:r>
    </w:p>
    <w:p>
      <w:pPr>
        <w:pStyle w:val="920"/>
        <w:ind w:left="0" w:firstLine="709"/>
        <w:tabs>
          <w:tab w:val="clear" w:pos="284" w:leader="none"/>
          <w:tab w:val="left" w:pos="567" w:leader="none"/>
        </w:tabs>
        <w:rPr>
          <w:bCs/>
        </w:rPr>
      </w:pPr>
      <w:r>
        <w:rPr>
          <w:bCs/>
        </w:rPr>
        <w:t xml:space="preserve">4.2. Дата и время начала подачи (приема) заявлений: 13.07.2026.</w:t>
      </w:r>
      <w:r>
        <w:rPr>
          <w:bCs/>
        </w:rPr>
      </w:r>
      <w:r>
        <w:rPr>
          <w:bCs/>
        </w:rPr>
      </w:r>
    </w:p>
    <w:p>
      <w:pPr>
        <w:pStyle w:val="895"/>
        <w:ind w:firstLine="709"/>
        <w:jc w:val="both"/>
      </w:pPr>
      <w:r>
        <w:t xml:space="preserve">Подача заявлений осуществляется  в рабочие дни с 9:00 по 1</w:t>
      </w:r>
      <w:r>
        <w:t xml:space="preserve">8:00</w:t>
      </w:r>
      <w:r>
        <w:t xml:space="preserve">.  </w:t>
      </w:r>
      <w:r/>
    </w:p>
    <w:p>
      <w:pPr>
        <w:pStyle w:val="895"/>
        <w:ind w:firstLine="709"/>
        <w:jc w:val="both"/>
        <w:rPr>
          <w:bCs/>
        </w:rPr>
      </w:pPr>
      <w:r>
        <w:rPr>
          <w:bCs/>
        </w:rPr>
        <w:t xml:space="preserve">4.3. Срок окончания</w:t>
      </w:r>
      <w:r>
        <w:t xml:space="preserve"> </w:t>
      </w:r>
      <w:r>
        <w:rPr>
          <w:bCs/>
        </w:rPr>
        <w:t xml:space="preserve">подачи (приема) заявлений: 12.08.2026.</w:t>
      </w:r>
      <w:r>
        <w:rPr>
          <w:bCs/>
        </w:rPr>
      </w:r>
      <w:r>
        <w:rPr>
          <w:bCs/>
        </w:rPr>
      </w:r>
    </w:p>
    <w:p>
      <w:pPr>
        <w:pStyle w:val="895"/>
        <w:ind w:firstLine="709"/>
        <w:jc w:val="both"/>
        <w:rPr>
          <w:bCs/>
        </w:rPr>
      </w:pPr>
      <w:r>
        <w:rPr>
          <w:bCs/>
        </w:rPr>
        <w:t xml:space="preserve">4.4. Место </w:t>
      </w:r>
      <w:r>
        <w:t xml:space="preserve">определения итогов продажи</w:t>
      </w:r>
      <w:r>
        <w:rPr>
          <w:bCs/>
        </w:rPr>
        <w:t xml:space="preserve">: г. Челябинск, ул. Ленина, д. 59, каб. 514.</w:t>
      </w:r>
      <w:r>
        <w:rPr>
          <w:bCs/>
        </w:rPr>
      </w:r>
      <w:r>
        <w:rPr>
          <w:bCs/>
        </w:rPr>
      </w:r>
    </w:p>
    <w:p>
      <w:pPr>
        <w:pStyle w:val="895"/>
        <w:ind w:firstLine="709"/>
        <w:jc w:val="both"/>
        <w:rPr>
          <w:b/>
          <w:bCs/>
          <w:color w:val="000000"/>
          <w:highlight w:val="none"/>
        </w:rPr>
      </w:pPr>
      <w:r>
        <w:rPr>
          <w:bCs/>
        </w:rPr>
        <w:t xml:space="preserve">Дата и время </w:t>
      </w:r>
      <w:r>
        <w:t xml:space="preserve">определения итогов продажи: 13.08.2026</w:t>
      </w:r>
      <w:r>
        <w:rPr>
          <w:bCs/>
        </w:rPr>
        <w:t xml:space="preserve"> в 10:00. </w:t>
      </w:r>
      <w:r>
        <w:rPr>
          <w:b/>
          <w:bCs/>
          <w:color w:val="000000"/>
        </w:rPr>
      </w:r>
      <w:r>
        <w:rPr>
          <w:b/>
          <w:bCs/>
          <w:color w:val="000000"/>
          <w:highlight w:val="none"/>
        </w:rPr>
      </w:r>
    </w:p>
    <w:p>
      <w:pPr>
        <w:ind w:firstLine="709"/>
        <w:jc w:val="both"/>
        <w:rPr>
          <w:b/>
          <w:bCs/>
          <w:color w:val="000000"/>
        </w:rPr>
      </w:pPr>
      <w:r>
        <w:rPr>
          <w:b/>
          <w:bCs/>
          <w:color w:val="000000"/>
          <w:highlight w:val="none"/>
        </w:rPr>
      </w:r>
      <w:r>
        <w:rPr>
          <w:b/>
          <w:bCs/>
          <w:color w:val="000000"/>
          <w:highlight w:val="none"/>
        </w:rPr>
      </w:r>
    </w:p>
    <w:p>
      <w:pPr>
        <w:pStyle w:val="920"/>
        <w:jc w:val="center"/>
        <w:spacing w:before="120" w:after="120"/>
        <w:tabs>
          <w:tab w:val="clear" w:pos="284" w:leader="none"/>
          <w:tab w:val="left" w:pos="709" w:leader="none"/>
        </w:tabs>
        <w:rPr>
          <w:b/>
          <w:bCs/>
        </w:rPr>
      </w:pPr>
      <w:r>
        <w:rPr>
          <w:b/>
          <w:bCs/>
        </w:rPr>
        <w:t xml:space="preserve">5. Порядок подачи (приема) и отзыва заявлений.</w:t>
      </w:r>
      <w:r>
        <w:rPr>
          <w:b/>
          <w:bCs/>
        </w:rPr>
      </w:r>
      <w:r>
        <w:rPr>
          <w:b/>
          <w:bCs/>
        </w:rPr>
      </w:r>
    </w:p>
    <w:p>
      <w:pPr>
        <w:pStyle w:val="920"/>
        <w:ind w:left="0" w:firstLine="0"/>
        <w:tabs>
          <w:tab w:val="clear" w:pos="284" w:leader="none"/>
          <w:tab w:val="left" w:pos="709" w:leader="none"/>
        </w:tabs>
        <w:rPr>
          <w:bCs/>
        </w:rPr>
      </w:pPr>
      <w:r>
        <w:rPr>
          <w:b/>
          <w:bCs/>
        </w:rPr>
        <w:tab/>
      </w:r>
      <w:r>
        <w:rPr>
          <w:bCs/>
        </w:rPr>
        <w:t xml:space="preserve">5.1.</w:t>
      </w:r>
      <w:r>
        <w:rPr>
          <w:b/>
          <w:bCs/>
        </w:rPr>
        <w:t xml:space="preserve"> </w:t>
      </w:r>
      <w:r>
        <w:rPr>
          <w:bCs/>
        </w:rPr>
        <w:t xml:space="preserve">Покупатель направляет (предоставляет) в адрес Продавца Заявление о согласии на использование преимущественного права покупки указанного в настоящем Информационном сообщении Имущества в письменном виде до срока, указанного в </w:t>
      </w:r>
      <w:r>
        <w:t xml:space="preserve">пункте 4.3</w:t>
      </w:r>
      <w:r>
        <w:rPr>
          <w:bCs/>
        </w:rPr>
        <w:t xml:space="preserve">;</w:t>
      </w:r>
      <w:r>
        <w:rPr>
          <w:bCs/>
        </w:rPr>
      </w:r>
      <w:r>
        <w:rPr>
          <w:bCs/>
        </w:rPr>
      </w:r>
    </w:p>
    <w:p>
      <w:pPr>
        <w:pStyle w:val="920"/>
        <w:ind w:left="0" w:firstLine="0"/>
        <w:tabs>
          <w:tab w:val="clear" w:pos="284" w:leader="none"/>
          <w:tab w:val="left" w:pos="709" w:leader="none"/>
        </w:tabs>
        <w:rPr>
          <w:bCs/>
        </w:rPr>
      </w:pPr>
      <w:r>
        <w:rPr>
          <w:bCs/>
        </w:rPr>
        <w:tab/>
        <w:t xml:space="preserve">5.2. В любой момент до истечения указанного в пункте 4.3 срока, Покупатель вправе подать в письменной форме заявление об отказе от использования преимущественного права покупки указанного в настоящем Информационном сообщении Имущества.</w:t>
      </w:r>
      <w:r>
        <w:rPr>
          <w:bCs/>
        </w:rPr>
      </w:r>
      <w:r>
        <w:rPr>
          <w:bCs/>
        </w:rPr>
      </w:r>
    </w:p>
    <w:p>
      <w:pPr>
        <w:pStyle w:val="920"/>
        <w:ind w:left="0" w:firstLine="0"/>
        <w:jc w:val="center"/>
        <w:spacing w:before="120" w:after="120"/>
        <w:tabs>
          <w:tab w:val="clear" w:pos="284" w:leader="none"/>
        </w:tabs>
        <w:rPr>
          <w:b/>
          <w:bCs/>
        </w:rPr>
      </w:pPr>
      <w:r>
        <w:rPr>
          <w:b/>
          <w:bCs/>
        </w:rPr>
        <w:t xml:space="preserve">6. Перечень документов, представляемых Покупателем, и требования к их оформлению</w:t>
      </w:r>
      <w:r>
        <w:rPr>
          <w:b/>
          <w:bCs/>
        </w:rPr>
      </w:r>
      <w:r>
        <w:rPr>
          <w:b/>
          <w:bCs/>
        </w:rPr>
      </w:r>
    </w:p>
    <w:p>
      <w:pPr>
        <w:pStyle w:val="920"/>
        <w:ind w:left="0" w:firstLine="709"/>
      </w:pPr>
      <w:r>
        <w:rPr>
          <w:bCs/>
        </w:rPr>
        <w:t xml:space="preserve">6.1. </w:t>
      </w:r>
      <w:r>
        <w:t xml:space="preserve">Одновременно с заявлением о согласии на использование преимущественного права на приобретение арендуемого недвижимого имущества Покупатель представляет следующие документы в бумажной форме:</w:t>
      </w:r>
      <w:r/>
    </w:p>
    <w:p>
      <w:pPr>
        <w:pStyle w:val="920"/>
        <w:ind w:left="0" w:firstLine="709"/>
      </w:pPr>
      <w:r>
        <w:t xml:space="preserve">6.1.1. Доверенность на лицо, имеющее право действовать от имени Покупателя, если заявление подается представителем Покупателя, оформленная в установленном порядке, или нотариально заверенная копия такой доверенности. </w:t>
      </w:r>
      <w:r/>
    </w:p>
    <w:p>
      <w:pPr>
        <w:pStyle w:val="920"/>
        <w:ind w:left="0" w:firstLine="709"/>
      </w:pPr>
      <w:r>
        <w:t xml:space="preserve">В случае, если доверенность на осуществление действий от имени Покупателя подписана лицом, уполномоченным руководителем юридического лица, заявка должна содержать также документ, подтверждающий полномочия этого лица.</w:t>
      </w:r>
      <w:r/>
    </w:p>
    <w:p>
      <w:pPr>
        <w:pStyle w:val="920"/>
        <w:ind w:left="0" w:firstLine="709"/>
      </w:pPr>
      <w:r>
        <w:t xml:space="preserve">6.1.2. юридические лица:</w:t>
      </w:r>
      <w:r/>
    </w:p>
    <w:p>
      <w:pPr>
        <w:pStyle w:val="895"/>
        <w:ind w:firstLine="709"/>
        <w:jc w:val="both"/>
      </w:pPr>
      <w:r>
        <w:t xml:space="preserve">- заверенные копии учредительных документов;</w:t>
      </w:r>
      <w:r/>
    </w:p>
    <w:p>
      <w:pPr>
        <w:pStyle w:val="895"/>
        <w:ind w:firstLine="709"/>
        <w:jc w:val="both"/>
      </w:pPr>
      <w:r>
        <w:t xml:space="preserve">- документ, который подтверждает полномочия руководителя юрид</w:t>
      </w:r>
      <w:r>
        <w:t xml:space="preserve">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p>
    <w:p>
      <w:pPr>
        <w:pStyle w:val="895"/>
        <w:ind w:firstLine="709"/>
        <w:jc w:val="both"/>
      </w:pPr>
      <w:r>
        <w:t xml:space="preserve">- документ, содержащий сведения </w:t>
      </w:r>
      <w:r>
        <w:t xml:space="preserve">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r/>
    </w:p>
    <w:p>
      <w:pPr>
        <w:pStyle w:val="895"/>
        <w:ind w:firstLine="709"/>
        <w:jc w:val="both"/>
        <w:rPr>
          <w:bCs/>
        </w:rPr>
      </w:pPr>
      <w:r>
        <w:rPr>
          <w:rFonts w:eastAsia="Calibri" w:eastAsiaTheme="minorHAnsi"/>
          <w:lang w:eastAsia="en-US"/>
        </w:rPr>
        <w:t xml:space="preserve">6.1.3. физические лица:</w:t>
      </w:r>
      <w:r>
        <w:rPr>
          <w:bCs/>
        </w:rPr>
      </w:r>
      <w:r>
        <w:rPr>
          <w:bCs/>
        </w:rPr>
      </w:r>
    </w:p>
    <w:p>
      <w:pPr>
        <w:pStyle w:val="895"/>
        <w:ind w:firstLine="709"/>
        <w:jc w:val="both"/>
        <w:rPr>
          <w:bCs/>
        </w:rPr>
      </w:pPr>
      <w:r>
        <w:rPr>
          <w:bCs/>
        </w:rPr>
        <w:t xml:space="preserve">-документ, удостоверяющий личность (копии всех страниц).</w:t>
      </w:r>
      <w:r>
        <w:rPr>
          <w:bCs/>
        </w:rPr>
      </w:r>
      <w:r>
        <w:rPr>
          <w:bCs/>
        </w:rPr>
      </w:r>
    </w:p>
    <w:p>
      <w:pPr>
        <w:pStyle w:val="895"/>
        <w:ind w:firstLine="709"/>
        <w:jc w:val="both"/>
        <w:rPr>
          <w:rFonts w:eastAsia="Calibri" w:eastAsiaTheme="minorHAnsi"/>
          <w:lang w:eastAsia="en-US"/>
        </w:rPr>
      </w:pPr>
      <w:r>
        <w:rPr>
          <w:rFonts w:eastAsia="Calibri" w:eastAsiaTheme="minorHAnsi"/>
          <w:lang w:eastAsia="en-US"/>
        </w:rPr>
        <w:t xml:space="preserve">6.1.4. Опись представленных документов, подписанная Покупателем или его уполномоченным представителем.</w:t>
      </w:r>
      <w:r>
        <w:rPr>
          <w:rFonts w:eastAsia="Calibri" w:eastAsiaTheme="minorHAnsi"/>
          <w:lang w:eastAsia="en-US"/>
        </w:rPr>
      </w:r>
      <w:r>
        <w:rPr>
          <w:rFonts w:eastAsia="Calibri" w:eastAsiaTheme="minorHAnsi"/>
          <w:lang w:eastAsia="en-US"/>
        </w:rPr>
      </w:r>
    </w:p>
    <w:p>
      <w:pPr>
        <w:pStyle w:val="895"/>
        <w:ind w:firstLine="709"/>
        <w:jc w:val="both"/>
        <w:rPr>
          <w:rFonts w:eastAsia="Calibri" w:eastAsiaTheme="minorHAnsi"/>
          <w:lang w:eastAsia="en-US"/>
        </w:rPr>
      </w:pPr>
      <w:r>
        <w:rPr>
          <w:rFonts w:eastAsia="Calibri" w:eastAsiaTheme="minorHAnsi"/>
          <w:lang w:eastAsia="en-US"/>
        </w:rPr>
        <w:t xml:space="preserve">6.1.</w:t>
      </w:r>
      <w:r>
        <w:t xml:space="preserve">5</w:t>
      </w:r>
      <w:r>
        <w:rPr>
          <w:rFonts w:eastAsia="Calibri" w:eastAsiaTheme="minorHAnsi"/>
          <w:lang w:eastAsia="en-US"/>
        </w:rPr>
        <w:t xml:space="preserve">.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r>
        <w:rPr>
          <w:rFonts w:eastAsia="Calibri" w:eastAsiaTheme="minorHAnsi"/>
          <w:lang w:eastAsia="en-US"/>
        </w:rPr>
      </w:r>
      <w:r>
        <w:rPr>
          <w:rFonts w:eastAsia="Calibri" w:eastAsiaTheme="minorHAnsi"/>
          <w:lang w:eastAsia="en-US"/>
        </w:rPr>
      </w:r>
    </w:p>
    <w:p>
      <w:pPr>
        <w:pStyle w:val="895"/>
        <w:ind w:firstLine="709"/>
        <w:jc w:val="both"/>
        <w:rPr>
          <w:rFonts w:eastAsia="Calibri" w:eastAsiaTheme="minorHAnsi"/>
          <w:lang w:eastAsia="en-US"/>
        </w:rPr>
      </w:pPr>
      <w:r>
        <w:rPr>
          <w:rFonts w:eastAsia="Calibri" w:eastAsiaTheme="minorHAnsi"/>
          <w:lang w:eastAsia="en-US"/>
        </w:rPr>
        <w:t xml:space="preserve">6.1.</w:t>
      </w:r>
      <w:r>
        <w:t xml:space="preserve">6</w:t>
      </w:r>
      <w:r>
        <w:rPr>
          <w:rFonts w:eastAsia="Calibri" w:eastAsiaTheme="minorHAnsi"/>
          <w:lang w:eastAsia="en-US"/>
        </w:rPr>
        <w:t xml:space="preserve">. Заявление подается одновременно с полным комплектом документов, установленным в настоящем Информационном сообщении.</w:t>
      </w:r>
      <w:r>
        <w:rPr>
          <w:rFonts w:eastAsia="Calibri" w:eastAsiaTheme="minorHAnsi"/>
          <w:lang w:eastAsia="en-US"/>
        </w:rPr>
      </w:r>
      <w:r>
        <w:rPr>
          <w:rFonts w:eastAsia="Calibri" w:eastAsiaTheme="minorHAnsi"/>
          <w:lang w:eastAsia="en-US"/>
        </w:rPr>
      </w:r>
    </w:p>
    <w:p>
      <w:pPr>
        <w:pStyle w:val="934"/>
        <w:ind w:left="0" w:firstLine="709"/>
        <w:jc w:val="both"/>
        <w:rPr>
          <w:bCs/>
        </w:rPr>
      </w:pPr>
      <w:r>
        <w:rPr>
          <w:bCs/>
        </w:rPr>
      </w:r>
      <w:r>
        <w:rPr>
          <w:bCs/>
        </w:rPr>
      </w:r>
      <w:r>
        <w:rPr>
          <w:bCs/>
        </w:rPr>
      </w:r>
    </w:p>
    <w:p>
      <w:pPr>
        <w:pStyle w:val="920"/>
        <w:jc w:val="center"/>
        <w:spacing w:before="120" w:after="120"/>
        <w:tabs>
          <w:tab w:val="clear" w:pos="284" w:leader="none"/>
          <w:tab w:val="left" w:pos="426" w:leader="none"/>
          <w:tab w:val="left" w:pos="709" w:leader="none"/>
          <w:tab w:val="left" w:pos="1429" w:leader="none"/>
        </w:tabs>
        <w:rPr>
          <w:b/>
        </w:rPr>
      </w:pPr>
      <w:r>
        <w:rPr>
          <w:b/>
        </w:rPr>
        <w:t xml:space="preserve">7. Ограничения участия </w:t>
      </w:r>
      <w:r>
        <w:rPr>
          <w:b/>
          <w:bCs/>
        </w:rPr>
        <w:t xml:space="preserve">в Продаже </w:t>
      </w:r>
      <w:r>
        <w:rPr>
          <w:b/>
        </w:rPr>
        <w:t xml:space="preserve">отдельных категорий физических и юридических лиц</w:t>
      </w:r>
      <w:r>
        <w:rPr>
          <w:b/>
        </w:rPr>
      </w:r>
      <w:r>
        <w:rPr>
          <w:b/>
        </w:rPr>
      </w:r>
    </w:p>
    <w:p>
      <w:pPr>
        <w:pStyle w:val="895"/>
        <w:ind w:firstLine="709"/>
        <w:jc w:val="both"/>
      </w:pPr>
      <w:r>
        <w:rPr>
          <w:bCs/>
        </w:rPr>
        <w:t xml:space="preserve">7.1. Покупателями государственного имущества могут быть лица, отвечающие признакам покупателя в соответствии с Федеральным законом от 21 декабря 2001 г. № 178-ФЗ «О приватизации государственного и муниципального имущества».</w:t>
      </w:r>
      <w:r/>
    </w:p>
    <w:p>
      <w:pPr>
        <w:pStyle w:val="922"/>
        <w:ind w:firstLine="709"/>
        <w:spacing w:before="0" w:after="0"/>
        <w:rPr>
          <w:b w:val="0"/>
          <w:sz w:val="24"/>
        </w:rPr>
      </w:pPr>
      <w:r>
        <w:rPr>
          <w:b w:val="0"/>
          <w:sz w:val="24"/>
        </w:rPr>
      </w:r>
      <w:r>
        <w:rPr>
          <w:b w:val="0"/>
          <w:sz w:val="24"/>
        </w:rPr>
      </w:r>
      <w:r>
        <w:rPr>
          <w:b w:val="0"/>
          <w:sz w:val="24"/>
        </w:rPr>
      </w:r>
    </w:p>
    <w:p>
      <w:pPr>
        <w:pStyle w:val="922"/>
        <w:ind w:firstLine="0"/>
        <w:jc w:val="center"/>
        <w:spacing w:before="120" w:after="120"/>
        <w:tabs>
          <w:tab w:val="clear" w:pos="709" w:leader="none"/>
          <w:tab w:val="left" w:pos="1080" w:leader="none"/>
        </w:tabs>
        <w:rPr>
          <w:sz w:val="24"/>
        </w:rPr>
      </w:pPr>
      <w:r>
        <w:rPr>
          <w:sz w:val="24"/>
        </w:rPr>
        <w:t xml:space="preserve">8. Заключительные положения</w:t>
      </w:r>
      <w:r>
        <w:rPr>
          <w:sz w:val="24"/>
        </w:rPr>
      </w:r>
      <w:r>
        <w:rPr>
          <w:sz w:val="24"/>
        </w:rPr>
      </w:r>
    </w:p>
    <w:p>
      <w:pPr>
        <w:pStyle w:val="895"/>
        <w:ind w:firstLine="709"/>
        <w:jc w:val="both"/>
      </w:pPr>
      <w:r>
        <w:t xml:space="preserve">8.1. Все вопросы, касающиеся проведения продажи, не нашедшие отражения в настоящем Информационном сообщении, регулируются законодательством Российской Федерации. </w:t>
      </w:r>
      <w:r/>
    </w:p>
    <w:p>
      <w:pPr>
        <w:sectPr>
          <w:headerReference w:type="default" r:id="rId8"/>
          <w:headerReference w:type="even" r:id="rId9"/>
          <w:footnotePr/>
          <w:endnotePr/>
          <w:type w:val="nextPage"/>
          <w:pgSz w:w="11906" w:h="16838" w:orient="portrait"/>
          <w:pgMar w:top="1134" w:right="707" w:bottom="1134" w:left="1134" w:header="709" w:footer="0" w:gutter="0"/>
          <w:pgNumType w:start="1"/>
          <w:cols w:num="1" w:sep="0" w:space="708" w:equalWidth="1"/>
          <w:docGrid w:linePitch="360"/>
          <w:titlePg/>
        </w:sectPr>
      </w:pPr>
      <w:r/>
      <w:r/>
    </w:p>
    <w:p>
      <w:pPr>
        <w:pStyle w:val="895"/>
        <w:ind w:firstLine="709"/>
        <w:jc w:val="both"/>
      </w:pPr>
      <w:r/>
      <w:r/>
    </w:p>
    <w:sectPr>
      <w:footnotePr/>
      <w:endnotePr/>
      <w:type w:val="continuous"/>
      <w:pgSz w:w="11906" w:h="16838" w:orient="portrait"/>
      <w:pgMar w:top="1134" w:right="707" w:bottom="1134" w:left="1134" w:header="709" w:footer="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Calibri">
    <w:panose1 w:val="020F0502020204030204"/>
  </w:font>
  <w:font w:name="Verdana">
    <w:panose1 w:val="020B0604030504040204"/>
  </w:font>
  <w:font w:name="Tahoma">
    <w:panose1 w:val="020B0604030504040204"/>
  </w:font>
  <w:font w:name="Droid Sans Devanagari">
    <w:panose1 w:val="020B0606030804020204"/>
  </w:font>
  <w:font w:name="Liberation Sans">
    <w:panose1 w:val="020B0604020202020204"/>
  </w:font>
  <w:font w:name="TimesNewRoman">
    <w:panose1 w:val="020206030504050203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Pr>
    <w:r>
      <mc:AlternateContent>
        <mc:Choice Requires="wpg">
          <w:drawing>
            <wp:anchor xmlns:wp="http://schemas.openxmlformats.org/drawingml/2006/wordprocessingDrawing" xmlns:wp14="http://schemas.microsoft.com/office/word/2010/wordprocessingDrawing" distT="0" distB="0" distL="0" distR="0" simplePos="0" relativeHeight="10" behindDoc="1" locked="0" layoutInCell="0" allowOverlap="1">
              <wp:simplePos x="0" y="0"/>
              <wp:positionH relativeFrom="margin">
                <wp:align>center</wp:align>
              </wp:positionH>
              <wp:positionV relativeFrom="paragraph">
                <wp:posOffset>635</wp:posOffset>
              </wp:positionV>
              <wp:extent cx="76835" cy="173990"/>
              <wp:effectExtent l="0" t="0" r="0" b="0"/>
              <wp:wrapSquare wrapText="bothSides"/>
              <wp:docPr id="1" name="Врезка3"/>
              <wp:cNvGraphicFramePr/>
              <a:graphic xmlns:a="http://schemas.openxmlformats.org/drawingml/2006/main">
                <a:graphicData uri="http://schemas.microsoft.com/office/word/2010/wordprocessingShape">
                  <wps:wsp>
                    <wps:cNvPr id="0" name=""/>
                    <wps:cNvSpPr/>
                    <wps:spPr bwMode="auto">
                      <a:xfrm>
                        <a:off x="0" y="0"/>
                        <a:ext cx="76680" cy="173880"/>
                      </a:xfrm>
                      <a:prstGeom prst="rect">
                        <a:avLst/>
                      </a:prstGeom>
                      <a:noFill/>
                      <a:ln w="0">
                        <a:noFill/>
                        <a:miter/>
                      </a:ln>
                    </wps:spPr>
                    <wps:style>
                      <a:lnRef idx="0"/>
                      <a:fillRef idx="0"/>
                      <a:effectRef idx="0"/>
                      <a:fontRef idx="minor"/>
                    </wps:style>
                    <wps:txbx>
                      <w:txbxContent>
                        <w:p>
                          <w:pPr>
                            <w:pStyle w:val="927"/>
                            <w:rPr>
                              <w:rStyle w:val="901"/>
                            </w:rPr>
                          </w:pPr>
                          <w:r>
                            <w:rPr>
                              <w:rStyle w:val="901"/>
                              <w:color w:val="000000"/>
                            </w:rPr>
                            <w:fldChar w:fldCharType="begin"/>
                          </w:r>
                          <w:r>
                            <w:rPr>
                              <w:rStyle w:val="901"/>
                              <w:color w:val="000000"/>
                            </w:rPr>
                            <w:instrText xml:space="preserve"> PAGE </w:instrText>
                          </w:r>
                          <w:r>
                            <w:rPr>
                              <w:rStyle w:val="901"/>
                              <w:color w:val="000000"/>
                            </w:rPr>
                            <w:fldChar w:fldCharType="separate"/>
                          </w:r>
                          <w:r>
                            <w:rPr>
                              <w:rStyle w:val="901"/>
                              <w:color w:val="000000"/>
                            </w:rPr>
                            <w:t xml:space="preserve">5</w:t>
                          </w:r>
                          <w:r>
                            <w:rPr>
                              <w:rStyle w:val="901"/>
                              <w:color w:val="000000"/>
                            </w:rPr>
                            <w:fldChar w:fldCharType="end"/>
                          </w:r>
                          <w:r>
                            <w:rPr>
                              <w:rStyle w:val="901"/>
                            </w:rPr>
                          </w:r>
                          <w:r>
                            <w:rPr>
                              <w:rStyle w:val="901"/>
                            </w:rPr>
                          </w:r>
                        </w:p>
                      </w:txbxContent>
                    </wps:txbx>
                    <wps:bodyPr lIns="36000" tIns="36000" rIns="36000" bIns="36000" anchor="t">
                      <a:spAutoFit/>
                    </wps:bodyPr>
                  </wps:wsp>
                </a:graphicData>
              </a:graphic>
            </wp:anchor>
          </w:drawing>
        </mc:Choice>
        <mc:Fallback>
          <w:pict>
            <v:shape id="shape 0" o:spid="_x0000_s0" o:spt="1" type="#_x0000_t1" style="position:absolute;z-index:-10;o:allowoverlap:true;o:allowincell:false;mso-position-horizontal-relative:margin;mso-position-horizontal:center;mso-position-vertical-relative:text;margin-top:0.05pt;mso-position-vertical:absolute;width:6.05pt;height:13.70pt;mso-wrap-distance-left:0.00pt;mso-wrap-distance-top:0.00pt;mso-wrap-distance-right:0.00pt;mso-wrap-distance-bottom:0.00pt;v-text-anchor:top;visibility:visible;" filled="f" stroked="f" strokeweight="0.00pt">
              <w10:wrap type="square"/>
              <v:textbox inset="0,0,0,0">
                <w:txbxContent>
                  <w:p>
                    <w:pPr>
                      <w:pStyle w:val="927"/>
                      <w:rPr>
                        <w:rStyle w:val="901"/>
                      </w:rPr>
                    </w:pPr>
                    <w:r>
                      <w:rPr>
                        <w:rStyle w:val="901"/>
                        <w:color w:val="000000"/>
                      </w:rPr>
                      <w:fldChar w:fldCharType="begin"/>
                    </w:r>
                    <w:r>
                      <w:rPr>
                        <w:rStyle w:val="901"/>
                        <w:color w:val="000000"/>
                      </w:rPr>
                      <w:instrText xml:space="preserve"> PAGE </w:instrText>
                    </w:r>
                    <w:r>
                      <w:rPr>
                        <w:rStyle w:val="901"/>
                        <w:color w:val="000000"/>
                      </w:rPr>
                      <w:fldChar w:fldCharType="separate"/>
                    </w:r>
                    <w:r>
                      <w:rPr>
                        <w:rStyle w:val="901"/>
                        <w:color w:val="000000"/>
                      </w:rPr>
                      <w:t xml:space="preserve">5</w:t>
                    </w:r>
                    <w:r>
                      <w:rPr>
                        <w:rStyle w:val="901"/>
                        <w:color w:val="000000"/>
                      </w:rPr>
                      <w:fldChar w:fldCharType="end"/>
                    </w:r>
                    <w:r>
                      <w:rPr>
                        <w:rStyle w:val="901"/>
                      </w:rPr>
                    </w:r>
                    <w:r>
                      <w:rPr>
                        <w:rStyle w:val="901"/>
                      </w:rPr>
                    </w:r>
                  </w:p>
                </w:txbxContent>
              </v:textbox>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Pr>
    <w:r>
      <mc:AlternateContent>
        <mc:Choice Requires="wpg">
          <w:drawing>
            <wp:anchor xmlns:wp="http://schemas.openxmlformats.org/drawingml/2006/wordprocessingDrawing" xmlns:wp14="http://schemas.microsoft.com/office/word/2010/wordprocessingDrawing"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2" name="Врезка2"/>
              <wp:cNvGraphicFramePr/>
              <a:graphic xmlns:a="http://schemas.openxmlformats.org/drawingml/2006/main">
                <a:graphicData uri="http://schemas.microsoft.com/office/word/2010/wordprocessingShape">
                  <wps:wsp>
                    <wps:cNvPr id="0" name=""/>
                    <wps:cNvSpPr/>
                    <wps:spPr bwMode="auto">
                      <a:xfrm>
                        <a:off x="0" y="0"/>
                        <a:ext cx="14760" cy="14760"/>
                      </a:xfrm>
                      <a:prstGeom prst="rect">
                        <a:avLst/>
                      </a:prstGeom>
                      <a:noFill/>
                      <a:ln w="0">
                        <a:noFill/>
                      </a:ln>
                    </wps:spPr>
                    <wps:style>
                      <a:lnRef idx="0"/>
                      <a:fillRef idx="0"/>
                      <a:effectRef idx="0"/>
                      <a:fontRef idx="minor"/>
                    </wps:style>
                    <wps:txbx>
                      <w:txbxContent>
                        <w:p>
                          <w:pPr>
                            <w:pStyle w:val="927"/>
                            <w:rPr>
                              <w:rStyle w:val="901"/>
                            </w:rPr>
                          </w:pPr>
                          <w:r>
                            <w:rPr>
                              <w:rStyle w:val="901"/>
                              <w:color w:val="000000"/>
                            </w:rPr>
                            <w:fldChar w:fldCharType="begin"/>
                          </w:r>
                          <w:r>
                            <w:rPr>
                              <w:rStyle w:val="901"/>
                              <w:color w:val="000000"/>
                            </w:rPr>
                            <w:instrText xml:space="preserve"> PAGE </w:instrText>
                          </w:r>
                          <w:r>
                            <w:rPr>
                              <w:rStyle w:val="901"/>
                              <w:color w:val="000000"/>
                            </w:rPr>
                            <w:fldChar w:fldCharType="separate"/>
                          </w:r>
                          <w:r>
                            <w:rPr>
                              <w:rStyle w:val="901"/>
                              <w:color w:val="000000"/>
                            </w:rPr>
                            <w:t xml:space="preserve">0</w:t>
                          </w:r>
                          <w:r>
                            <w:rPr>
                              <w:rStyle w:val="901"/>
                              <w:color w:val="000000"/>
                            </w:rPr>
                            <w:fldChar w:fldCharType="end"/>
                          </w:r>
                          <w:r>
                            <w:rPr>
                              <w:rStyle w:val="901"/>
                            </w:rPr>
                          </w:r>
                          <w:r>
                            <w:rPr>
                              <w:rStyle w:val="901"/>
                            </w:rPr>
                          </w:r>
                        </w:p>
                      </w:txbxContent>
                    </wps:txbx>
                    <wps:bodyPr lIns="36000" tIns="36000" rIns="36000" bIns="36000" anchor="t">
                      <a:spAutoFit/>
                    </wps:bodyPr>
                  </wps:wsp>
                </a:graphicData>
              </a:graphic>
            </wp:anchor>
          </w:drawing>
        </mc:Choice>
        <mc:Fallback>
          <w:pict>
            <v:shape id="shape 1" o:spid="_x0000_s1" o:spt="1" type="#_x0000_t1" style="position:absolute;z-index:-2;o:allowoverlap:true;o:allowincell:false;mso-position-horizontal-relative:margin;mso-position-horizontal:center;mso-position-vertical-relative:text;margin-top:0.05pt;mso-position-vertical:absolute;width:1.15pt;height:1.15pt;mso-wrap-distance-left:0.00pt;mso-wrap-distance-top:0.00pt;mso-wrap-distance-right:0.00pt;mso-wrap-distance-bottom:0.00pt;v-text-anchor:top;visibility:visible;" filled="f" stroked="f" strokeweight="0.00pt">
              <w10:wrap type="square"/>
              <v:textbox inset="0,0,0,0">
                <w:txbxContent>
                  <w:p>
                    <w:pPr>
                      <w:pStyle w:val="927"/>
                      <w:rPr>
                        <w:rStyle w:val="901"/>
                      </w:rPr>
                    </w:pPr>
                    <w:r>
                      <w:rPr>
                        <w:rStyle w:val="901"/>
                        <w:color w:val="000000"/>
                      </w:rPr>
                      <w:fldChar w:fldCharType="begin"/>
                    </w:r>
                    <w:r>
                      <w:rPr>
                        <w:rStyle w:val="901"/>
                        <w:color w:val="000000"/>
                      </w:rPr>
                      <w:instrText xml:space="preserve"> PAGE </w:instrText>
                    </w:r>
                    <w:r>
                      <w:rPr>
                        <w:rStyle w:val="901"/>
                        <w:color w:val="000000"/>
                      </w:rPr>
                      <w:fldChar w:fldCharType="separate"/>
                    </w:r>
                    <w:r>
                      <w:rPr>
                        <w:rStyle w:val="901"/>
                        <w:color w:val="000000"/>
                      </w:rPr>
                      <w:t xml:space="preserve">0</w:t>
                    </w:r>
                    <w:r>
                      <w:rPr>
                        <w:rStyle w:val="901"/>
                        <w:color w:val="000000"/>
                      </w:rPr>
                      <w:fldChar w:fldCharType="end"/>
                    </w:r>
                    <w:r>
                      <w:rPr>
                        <w:rStyle w:val="901"/>
                      </w:rPr>
                    </w:r>
                    <w:r>
                      <w:rPr>
                        <w:rStyle w:val="901"/>
                      </w:rPr>
                    </w:r>
                  </w:p>
                </w:txbxContent>
              </v:textbox>
            </v:shape>
          </w:pict>
        </mc:Fallback>
      </mc:AlternateContent>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6">
    <w:name w:val="Heading 1 Char"/>
    <w:basedOn w:val="898"/>
    <w:link w:val="896"/>
    <w:uiPriority w:val="9"/>
    <w:rPr>
      <w:rFonts w:ascii="Arial" w:hAnsi="Arial" w:eastAsia="Arial" w:cs="Arial"/>
      <w:sz w:val="40"/>
      <w:szCs w:val="40"/>
    </w:rPr>
  </w:style>
  <w:style w:type="character" w:styleId="727">
    <w:name w:val="Heading 2 Char"/>
    <w:basedOn w:val="898"/>
    <w:link w:val="897"/>
    <w:uiPriority w:val="9"/>
    <w:rPr>
      <w:rFonts w:ascii="Arial" w:hAnsi="Arial" w:eastAsia="Arial" w:cs="Arial"/>
      <w:sz w:val="34"/>
    </w:rPr>
  </w:style>
  <w:style w:type="paragraph" w:styleId="728">
    <w:name w:val="Heading 3"/>
    <w:basedOn w:val="895"/>
    <w:next w:val="895"/>
    <w:link w:val="729"/>
    <w:uiPriority w:val="9"/>
    <w:unhideWhenUsed/>
    <w:qFormat/>
    <w:pPr>
      <w:keepLines/>
      <w:keepNext/>
      <w:spacing w:before="320" w:after="200"/>
      <w:outlineLvl w:val="2"/>
    </w:pPr>
    <w:rPr>
      <w:rFonts w:ascii="Arial" w:hAnsi="Arial" w:eastAsia="Arial" w:cs="Arial"/>
      <w:sz w:val="30"/>
      <w:szCs w:val="30"/>
    </w:rPr>
  </w:style>
  <w:style w:type="character" w:styleId="729">
    <w:name w:val="Heading 3 Char"/>
    <w:basedOn w:val="898"/>
    <w:link w:val="728"/>
    <w:uiPriority w:val="9"/>
    <w:rPr>
      <w:rFonts w:ascii="Arial" w:hAnsi="Arial" w:eastAsia="Arial" w:cs="Arial"/>
      <w:sz w:val="30"/>
      <w:szCs w:val="30"/>
    </w:rPr>
  </w:style>
  <w:style w:type="paragraph" w:styleId="730">
    <w:name w:val="Heading 4"/>
    <w:basedOn w:val="895"/>
    <w:next w:val="895"/>
    <w:link w:val="731"/>
    <w:uiPriority w:val="9"/>
    <w:unhideWhenUsed/>
    <w:qFormat/>
    <w:pPr>
      <w:keepLines/>
      <w:keepNext/>
      <w:spacing w:before="320" w:after="200"/>
      <w:outlineLvl w:val="3"/>
    </w:pPr>
    <w:rPr>
      <w:rFonts w:ascii="Arial" w:hAnsi="Arial" w:eastAsia="Arial" w:cs="Arial"/>
      <w:b/>
      <w:bCs/>
      <w:sz w:val="26"/>
      <w:szCs w:val="26"/>
    </w:rPr>
  </w:style>
  <w:style w:type="character" w:styleId="731">
    <w:name w:val="Heading 4 Char"/>
    <w:basedOn w:val="898"/>
    <w:link w:val="730"/>
    <w:uiPriority w:val="9"/>
    <w:rPr>
      <w:rFonts w:ascii="Arial" w:hAnsi="Arial" w:eastAsia="Arial" w:cs="Arial"/>
      <w:b/>
      <w:bCs/>
      <w:sz w:val="26"/>
      <w:szCs w:val="26"/>
    </w:rPr>
  </w:style>
  <w:style w:type="paragraph" w:styleId="732">
    <w:name w:val="Heading 5"/>
    <w:basedOn w:val="895"/>
    <w:next w:val="895"/>
    <w:link w:val="733"/>
    <w:uiPriority w:val="9"/>
    <w:unhideWhenUsed/>
    <w:qFormat/>
    <w:pPr>
      <w:keepLines/>
      <w:keepNext/>
      <w:spacing w:before="320" w:after="200"/>
      <w:outlineLvl w:val="4"/>
    </w:pPr>
    <w:rPr>
      <w:rFonts w:ascii="Arial" w:hAnsi="Arial" w:eastAsia="Arial" w:cs="Arial"/>
      <w:b/>
      <w:bCs/>
      <w:sz w:val="24"/>
      <w:szCs w:val="24"/>
    </w:rPr>
  </w:style>
  <w:style w:type="character" w:styleId="733">
    <w:name w:val="Heading 5 Char"/>
    <w:basedOn w:val="898"/>
    <w:link w:val="732"/>
    <w:uiPriority w:val="9"/>
    <w:rPr>
      <w:rFonts w:ascii="Arial" w:hAnsi="Arial" w:eastAsia="Arial" w:cs="Arial"/>
      <w:b/>
      <w:bCs/>
      <w:sz w:val="24"/>
      <w:szCs w:val="24"/>
    </w:rPr>
  </w:style>
  <w:style w:type="paragraph" w:styleId="734">
    <w:name w:val="Heading 6"/>
    <w:basedOn w:val="895"/>
    <w:next w:val="895"/>
    <w:link w:val="735"/>
    <w:uiPriority w:val="9"/>
    <w:unhideWhenUsed/>
    <w:qFormat/>
    <w:pPr>
      <w:keepLines/>
      <w:keepNext/>
      <w:spacing w:before="320" w:after="200"/>
      <w:outlineLvl w:val="5"/>
    </w:pPr>
    <w:rPr>
      <w:rFonts w:ascii="Arial" w:hAnsi="Arial" w:eastAsia="Arial" w:cs="Arial"/>
      <w:b/>
      <w:bCs/>
      <w:sz w:val="22"/>
      <w:szCs w:val="22"/>
    </w:rPr>
  </w:style>
  <w:style w:type="character" w:styleId="735">
    <w:name w:val="Heading 6 Char"/>
    <w:basedOn w:val="898"/>
    <w:link w:val="734"/>
    <w:uiPriority w:val="9"/>
    <w:rPr>
      <w:rFonts w:ascii="Arial" w:hAnsi="Arial" w:eastAsia="Arial" w:cs="Arial"/>
      <w:b/>
      <w:bCs/>
      <w:sz w:val="22"/>
      <w:szCs w:val="22"/>
    </w:rPr>
  </w:style>
  <w:style w:type="paragraph" w:styleId="736">
    <w:name w:val="Heading 7"/>
    <w:basedOn w:val="895"/>
    <w:next w:val="895"/>
    <w:link w:val="737"/>
    <w:uiPriority w:val="9"/>
    <w:unhideWhenUsed/>
    <w:qFormat/>
    <w:pPr>
      <w:keepLines/>
      <w:keepNext/>
      <w:spacing w:before="320" w:after="200"/>
      <w:outlineLvl w:val="6"/>
    </w:pPr>
    <w:rPr>
      <w:rFonts w:ascii="Arial" w:hAnsi="Arial" w:eastAsia="Arial" w:cs="Arial"/>
      <w:b/>
      <w:bCs/>
      <w:i/>
      <w:iCs/>
      <w:sz w:val="22"/>
      <w:szCs w:val="22"/>
    </w:rPr>
  </w:style>
  <w:style w:type="character" w:styleId="737">
    <w:name w:val="Heading 7 Char"/>
    <w:basedOn w:val="898"/>
    <w:link w:val="736"/>
    <w:uiPriority w:val="9"/>
    <w:rPr>
      <w:rFonts w:ascii="Arial" w:hAnsi="Arial" w:eastAsia="Arial" w:cs="Arial"/>
      <w:b/>
      <w:bCs/>
      <w:i/>
      <w:iCs/>
      <w:sz w:val="22"/>
      <w:szCs w:val="22"/>
    </w:rPr>
  </w:style>
  <w:style w:type="paragraph" w:styleId="738">
    <w:name w:val="Heading 8"/>
    <w:basedOn w:val="895"/>
    <w:next w:val="895"/>
    <w:link w:val="739"/>
    <w:uiPriority w:val="9"/>
    <w:unhideWhenUsed/>
    <w:qFormat/>
    <w:pPr>
      <w:keepLines/>
      <w:keepNext/>
      <w:spacing w:before="320" w:after="200"/>
      <w:outlineLvl w:val="7"/>
    </w:pPr>
    <w:rPr>
      <w:rFonts w:ascii="Arial" w:hAnsi="Arial" w:eastAsia="Arial" w:cs="Arial"/>
      <w:i/>
      <w:iCs/>
      <w:sz w:val="22"/>
      <w:szCs w:val="22"/>
    </w:rPr>
  </w:style>
  <w:style w:type="character" w:styleId="739">
    <w:name w:val="Heading 8 Char"/>
    <w:basedOn w:val="898"/>
    <w:link w:val="738"/>
    <w:uiPriority w:val="9"/>
    <w:rPr>
      <w:rFonts w:ascii="Arial" w:hAnsi="Arial" w:eastAsia="Arial" w:cs="Arial"/>
      <w:i/>
      <w:iCs/>
      <w:sz w:val="22"/>
      <w:szCs w:val="22"/>
    </w:rPr>
  </w:style>
  <w:style w:type="paragraph" w:styleId="740">
    <w:name w:val="Heading 9"/>
    <w:basedOn w:val="895"/>
    <w:next w:val="895"/>
    <w:link w:val="741"/>
    <w:uiPriority w:val="9"/>
    <w:unhideWhenUsed/>
    <w:qFormat/>
    <w:pPr>
      <w:keepLines/>
      <w:keepNext/>
      <w:spacing w:before="320" w:after="200"/>
      <w:outlineLvl w:val="8"/>
    </w:pPr>
    <w:rPr>
      <w:rFonts w:ascii="Arial" w:hAnsi="Arial" w:eastAsia="Arial" w:cs="Arial"/>
      <w:i/>
      <w:iCs/>
      <w:sz w:val="21"/>
      <w:szCs w:val="21"/>
    </w:rPr>
  </w:style>
  <w:style w:type="character" w:styleId="741">
    <w:name w:val="Heading 9 Char"/>
    <w:basedOn w:val="898"/>
    <w:link w:val="740"/>
    <w:uiPriority w:val="9"/>
    <w:rPr>
      <w:rFonts w:ascii="Arial" w:hAnsi="Arial" w:eastAsia="Arial" w:cs="Arial"/>
      <w:i/>
      <w:iCs/>
      <w:sz w:val="21"/>
      <w:szCs w:val="21"/>
    </w:rPr>
  </w:style>
  <w:style w:type="paragraph" w:styleId="742">
    <w:name w:val="No Spacing"/>
    <w:uiPriority w:val="1"/>
    <w:qFormat/>
    <w:pPr>
      <w:spacing w:before="0" w:after="0" w:line="240" w:lineRule="auto"/>
    </w:pPr>
  </w:style>
  <w:style w:type="paragraph" w:styleId="743">
    <w:name w:val="Title"/>
    <w:basedOn w:val="895"/>
    <w:next w:val="895"/>
    <w:link w:val="744"/>
    <w:uiPriority w:val="10"/>
    <w:qFormat/>
    <w:pPr>
      <w:contextualSpacing/>
      <w:spacing w:before="300" w:after="200"/>
    </w:pPr>
    <w:rPr>
      <w:sz w:val="48"/>
      <w:szCs w:val="48"/>
    </w:rPr>
  </w:style>
  <w:style w:type="character" w:styleId="744">
    <w:name w:val="Title Char"/>
    <w:basedOn w:val="898"/>
    <w:link w:val="743"/>
    <w:uiPriority w:val="10"/>
    <w:rPr>
      <w:sz w:val="48"/>
      <w:szCs w:val="48"/>
    </w:rPr>
  </w:style>
  <w:style w:type="paragraph" w:styleId="745">
    <w:name w:val="Subtitle"/>
    <w:basedOn w:val="895"/>
    <w:next w:val="895"/>
    <w:link w:val="746"/>
    <w:uiPriority w:val="11"/>
    <w:qFormat/>
    <w:pPr>
      <w:spacing w:before="200" w:after="200"/>
    </w:pPr>
    <w:rPr>
      <w:sz w:val="24"/>
      <w:szCs w:val="24"/>
    </w:rPr>
  </w:style>
  <w:style w:type="character" w:styleId="746">
    <w:name w:val="Subtitle Char"/>
    <w:basedOn w:val="898"/>
    <w:link w:val="745"/>
    <w:uiPriority w:val="11"/>
    <w:rPr>
      <w:sz w:val="24"/>
      <w:szCs w:val="24"/>
    </w:rPr>
  </w:style>
  <w:style w:type="paragraph" w:styleId="747">
    <w:name w:val="Quote"/>
    <w:basedOn w:val="895"/>
    <w:next w:val="895"/>
    <w:link w:val="748"/>
    <w:uiPriority w:val="29"/>
    <w:qFormat/>
    <w:pPr>
      <w:ind w:left="720" w:right="720"/>
    </w:pPr>
    <w:rPr>
      <w:i/>
    </w:rPr>
  </w:style>
  <w:style w:type="character" w:styleId="748">
    <w:name w:val="Quote Char"/>
    <w:link w:val="747"/>
    <w:uiPriority w:val="29"/>
    <w:rPr>
      <w:i/>
    </w:rPr>
  </w:style>
  <w:style w:type="paragraph" w:styleId="749">
    <w:name w:val="Intense Quote"/>
    <w:basedOn w:val="895"/>
    <w:next w:val="895"/>
    <w:link w:val="75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0">
    <w:name w:val="Intense Quote Char"/>
    <w:link w:val="749"/>
    <w:uiPriority w:val="30"/>
    <w:rPr>
      <w:i/>
    </w:rPr>
  </w:style>
  <w:style w:type="character" w:styleId="751">
    <w:name w:val="Header Char"/>
    <w:basedOn w:val="898"/>
    <w:link w:val="927"/>
    <w:uiPriority w:val="99"/>
  </w:style>
  <w:style w:type="paragraph" w:styleId="752">
    <w:name w:val="Footer"/>
    <w:basedOn w:val="895"/>
    <w:link w:val="753"/>
    <w:uiPriority w:val="99"/>
    <w:unhideWhenUsed/>
    <w:pPr>
      <w:spacing w:after="0" w:line="240" w:lineRule="auto"/>
      <w:tabs>
        <w:tab w:val="center" w:pos="7143" w:leader="none"/>
        <w:tab w:val="right" w:pos="14287" w:leader="none"/>
      </w:tabs>
    </w:pPr>
  </w:style>
  <w:style w:type="character" w:styleId="753">
    <w:name w:val="Footer Char"/>
    <w:basedOn w:val="898"/>
    <w:link w:val="752"/>
    <w:uiPriority w:val="99"/>
  </w:style>
  <w:style w:type="character" w:styleId="754">
    <w:name w:val="Caption Char"/>
    <w:basedOn w:val="898"/>
    <w:link w:val="918"/>
    <w:uiPriority w:val="35"/>
    <w:rPr>
      <w:b/>
      <w:bCs/>
      <w:color w:val="4f81bd" w:themeColor="accent1"/>
      <w:sz w:val="18"/>
      <w:szCs w:val="18"/>
    </w:rPr>
  </w:style>
  <w:style w:type="table" w:styleId="755">
    <w:name w:val="Table Grid Light"/>
    <w:basedOn w:val="94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6">
    <w:name w:val="Plain Table 1"/>
    <w:basedOn w:val="94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2"/>
    <w:basedOn w:val="94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8">
    <w:name w:val="Plain Table 3"/>
    <w:basedOn w:val="94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9">
    <w:name w:val="Plain Table 4"/>
    <w:basedOn w:val="94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0">
    <w:name w:val="Plain Table 5"/>
    <w:basedOn w:val="94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1">
    <w:name w:val="Grid Table 1 Light"/>
    <w:basedOn w:val="94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2">
    <w:name w:val="Grid Table 1 Light - Accent 1"/>
    <w:basedOn w:val="94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3">
    <w:name w:val="Grid Table 1 Light - Accent 2"/>
    <w:basedOn w:val="94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4">
    <w:name w:val="Grid Table 1 Light - Accent 3"/>
    <w:basedOn w:val="94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5">
    <w:name w:val="Grid Table 1 Light - Accent 4"/>
    <w:basedOn w:val="94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6">
    <w:name w:val="Grid Table 1 Light - Accent 5"/>
    <w:basedOn w:val="94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7">
    <w:name w:val="Grid Table 1 Light - Accent 6"/>
    <w:basedOn w:val="94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8">
    <w:name w:val="Grid Table 2"/>
    <w:basedOn w:val="94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9">
    <w:name w:val="Grid Table 2 - Accent 1"/>
    <w:basedOn w:val="94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0">
    <w:name w:val="Grid Table 2 - Accent 2"/>
    <w:basedOn w:val="94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1">
    <w:name w:val="Grid Table 2 - Accent 3"/>
    <w:basedOn w:val="94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2">
    <w:name w:val="Grid Table 2 - Accent 4"/>
    <w:basedOn w:val="94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3">
    <w:name w:val="Grid Table 2 - Accent 5"/>
    <w:basedOn w:val="94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4">
    <w:name w:val="Grid Table 2 - Accent 6"/>
    <w:basedOn w:val="94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5">
    <w:name w:val="Grid Table 3"/>
    <w:basedOn w:val="94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1"/>
    <w:basedOn w:val="94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2"/>
    <w:basedOn w:val="94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3"/>
    <w:basedOn w:val="94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3 - Accent 4"/>
    <w:basedOn w:val="94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3 - Accent 5"/>
    <w:basedOn w:val="94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1">
    <w:name w:val="Grid Table 3 - Accent 6"/>
    <w:basedOn w:val="94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4"/>
    <w:basedOn w:val="94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3">
    <w:name w:val="Grid Table 4 - Accent 1"/>
    <w:basedOn w:val="94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4">
    <w:name w:val="Grid Table 4 - Accent 2"/>
    <w:basedOn w:val="94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5">
    <w:name w:val="Grid Table 4 - Accent 3"/>
    <w:basedOn w:val="94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6">
    <w:name w:val="Grid Table 4 - Accent 4"/>
    <w:basedOn w:val="94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7">
    <w:name w:val="Grid Table 4 - Accent 5"/>
    <w:basedOn w:val="94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8">
    <w:name w:val="Grid Table 4 - Accent 6"/>
    <w:basedOn w:val="94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9">
    <w:name w:val="Grid Table 5 Dark"/>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0">
    <w:name w:val="Grid Table 5 Dark- Accent 1"/>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1">
    <w:name w:val="Grid Table 5 Dark - Accent 2"/>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2">
    <w:name w:val="Grid Table 5 Dark - Accent 3"/>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3">
    <w:name w:val="Grid Table 5 Dark- Accent 4"/>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4">
    <w:name w:val="Grid Table 5 Dark - Accent 5"/>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5">
    <w:name w:val="Grid Table 5 Dark - Accent 6"/>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6">
    <w:name w:val="Grid Table 6 Colorful"/>
    <w:basedOn w:val="94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7">
    <w:name w:val="Grid Table 6 Colorful - Accent 1"/>
    <w:basedOn w:val="94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8">
    <w:name w:val="Grid Table 6 Colorful - Accent 2"/>
    <w:basedOn w:val="94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99">
    <w:name w:val="Grid Table 6 Colorful - Accent 3"/>
    <w:basedOn w:val="94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0">
    <w:name w:val="Grid Table 6 Colorful - Accent 4"/>
    <w:basedOn w:val="94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1">
    <w:name w:val="Grid Table 6 Colorful - Accent 5"/>
    <w:basedOn w:val="94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2">
    <w:name w:val="Grid Table 6 Colorful - Accent 6"/>
    <w:basedOn w:val="94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3">
    <w:name w:val="Grid Table 7 Colorful"/>
    <w:basedOn w:val="94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4">
    <w:name w:val="Grid Table 7 Colorful - Accent 1"/>
    <w:basedOn w:val="94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5">
    <w:name w:val="Grid Table 7 Colorful - Accent 2"/>
    <w:basedOn w:val="94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6">
    <w:name w:val="Grid Table 7 Colorful - Accent 3"/>
    <w:basedOn w:val="94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7">
    <w:name w:val="Grid Table 7 Colorful - Accent 4"/>
    <w:basedOn w:val="94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8">
    <w:name w:val="Grid Table 7 Colorful - Accent 5"/>
    <w:basedOn w:val="94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9">
    <w:name w:val="Grid Table 7 Colorful - Accent 6"/>
    <w:basedOn w:val="94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0">
    <w:name w:val="List Table 1 Light"/>
    <w:basedOn w:val="94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1">
    <w:name w:val="List Table 1 Light - Accent 1"/>
    <w:basedOn w:val="94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2">
    <w:name w:val="List Table 1 Light - Accent 2"/>
    <w:basedOn w:val="94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3">
    <w:name w:val="List Table 1 Light - Accent 3"/>
    <w:basedOn w:val="94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4">
    <w:name w:val="List Table 1 Light - Accent 4"/>
    <w:basedOn w:val="94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5">
    <w:name w:val="List Table 1 Light - Accent 5"/>
    <w:basedOn w:val="94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6">
    <w:name w:val="List Table 1 Light - Accent 6"/>
    <w:basedOn w:val="94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7">
    <w:name w:val="List Table 2"/>
    <w:basedOn w:val="94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8">
    <w:name w:val="List Table 2 - Accent 1"/>
    <w:basedOn w:val="94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9">
    <w:name w:val="List Table 2 - Accent 2"/>
    <w:basedOn w:val="94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0">
    <w:name w:val="List Table 2 - Accent 3"/>
    <w:basedOn w:val="94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1">
    <w:name w:val="List Table 2 - Accent 4"/>
    <w:basedOn w:val="94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2">
    <w:name w:val="List Table 2 - Accent 5"/>
    <w:basedOn w:val="94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3">
    <w:name w:val="List Table 2 - Accent 6"/>
    <w:basedOn w:val="94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4">
    <w:name w:val="List Table 3"/>
    <w:basedOn w:val="94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5">
    <w:name w:val="List Table 3 - Accent 1"/>
    <w:basedOn w:val="94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6">
    <w:name w:val="List Table 3 - Accent 2"/>
    <w:basedOn w:val="94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7">
    <w:name w:val="List Table 3 - Accent 3"/>
    <w:basedOn w:val="94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8">
    <w:name w:val="List Table 3 - Accent 4"/>
    <w:basedOn w:val="94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29">
    <w:name w:val="List Table 3 - Accent 5"/>
    <w:basedOn w:val="94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0">
    <w:name w:val="List Table 3 - Accent 6"/>
    <w:basedOn w:val="94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1">
    <w:name w:val="List Table 4"/>
    <w:basedOn w:val="94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4 - Accent 1"/>
    <w:basedOn w:val="94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4 - Accent 2"/>
    <w:basedOn w:val="94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4">
    <w:name w:val="List Table 4 - Accent 3"/>
    <w:basedOn w:val="94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5">
    <w:name w:val="List Table 4 - Accent 4"/>
    <w:basedOn w:val="94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6">
    <w:name w:val="List Table 4 - Accent 5"/>
    <w:basedOn w:val="94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7">
    <w:name w:val="List Table 4 - Accent 6"/>
    <w:basedOn w:val="94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8">
    <w:name w:val="List Table 5 Dark"/>
    <w:basedOn w:val="94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1"/>
    <w:basedOn w:val="94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2"/>
    <w:basedOn w:val="94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3"/>
    <w:basedOn w:val="94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5 Dark - Accent 4"/>
    <w:basedOn w:val="94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5"/>
    <w:basedOn w:val="94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6"/>
    <w:basedOn w:val="94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6 Colorful"/>
    <w:basedOn w:val="94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6">
    <w:name w:val="List Table 6 Colorful - Accent 1"/>
    <w:basedOn w:val="94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7">
    <w:name w:val="List Table 6 Colorful - Accent 2"/>
    <w:basedOn w:val="94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8">
    <w:name w:val="List Table 6 Colorful - Accent 3"/>
    <w:basedOn w:val="94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49">
    <w:name w:val="List Table 6 Colorful - Accent 4"/>
    <w:basedOn w:val="94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0">
    <w:name w:val="List Table 6 Colorful - Accent 5"/>
    <w:basedOn w:val="94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1">
    <w:name w:val="List Table 6 Colorful - Accent 6"/>
    <w:basedOn w:val="94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2">
    <w:name w:val="List Table 7 Colorful"/>
    <w:basedOn w:val="94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3">
    <w:name w:val="List Table 7 Colorful - Accent 1"/>
    <w:basedOn w:val="94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4">
    <w:name w:val="List Table 7 Colorful - Accent 2"/>
    <w:basedOn w:val="94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5">
    <w:name w:val="List Table 7 Colorful - Accent 3"/>
    <w:basedOn w:val="94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6">
    <w:name w:val="List Table 7 Colorful - Accent 4"/>
    <w:basedOn w:val="94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7">
    <w:name w:val="List Table 7 Colorful - Accent 5"/>
    <w:basedOn w:val="94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8">
    <w:name w:val="List Table 7 Colorful - Accent 6"/>
    <w:basedOn w:val="94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59">
    <w:name w:val="Lined - Accent"/>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0">
    <w:name w:val="Lined - Accent 1"/>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1">
    <w:name w:val="Lined - Accent 2"/>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2">
    <w:name w:val="Lined - Accent 3"/>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3">
    <w:name w:val="Lined - Accent 4"/>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4">
    <w:name w:val="Lined - Accent 5"/>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5">
    <w:name w:val="Lined - Accent 6"/>
    <w:basedOn w:val="9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6">
    <w:name w:val="Bordered &amp; Lined - Accent"/>
    <w:basedOn w:val="94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Bordered &amp; Lined - Accent 1"/>
    <w:basedOn w:val="94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Bordered &amp; Lined - Accent 2"/>
    <w:basedOn w:val="94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Bordered &amp; Lined - Accent 3"/>
    <w:basedOn w:val="94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Bordered &amp; Lined - Accent 4"/>
    <w:basedOn w:val="94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Bordered &amp; Lined - Accent 5"/>
    <w:basedOn w:val="94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Bordered &amp; Lined - Accent 6"/>
    <w:basedOn w:val="94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w:basedOn w:val="94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4">
    <w:name w:val="Bordered - Accent 1"/>
    <w:basedOn w:val="94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5">
    <w:name w:val="Bordered - Accent 2"/>
    <w:basedOn w:val="94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6">
    <w:name w:val="Bordered - Accent 3"/>
    <w:basedOn w:val="94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7">
    <w:name w:val="Bordered - Accent 4"/>
    <w:basedOn w:val="94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8">
    <w:name w:val="Bordered - Accent 5"/>
    <w:basedOn w:val="94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9">
    <w:name w:val="Bordered - Accent 6"/>
    <w:basedOn w:val="94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0">
    <w:name w:val="Footnote Text Char"/>
    <w:link w:val="924"/>
    <w:uiPriority w:val="99"/>
    <w:rPr>
      <w:sz w:val="18"/>
    </w:rPr>
  </w:style>
  <w:style w:type="paragraph" w:styleId="881">
    <w:name w:val="endnote text"/>
    <w:basedOn w:val="895"/>
    <w:link w:val="882"/>
    <w:uiPriority w:val="99"/>
    <w:semiHidden/>
    <w:unhideWhenUsed/>
    <w:pPr>
      <w:spacing w:after="0" w:line="240" w:lineRule="auto"/>
    </w:pPr>
    <w:rPr>
      <w:sz w:val="20"/>
    </w:rPr>
  </w:style>
  <w:style w:type="character" w:styleId="882">
    <w:name w:val="Endnote Text Char"/>
    <w:link w:val="881"/>
    <w:uiPriority w:val="99"/>
    <w:rPr>
      <w:sz w:val="20"/>
    </w:rPr>
  </w:style>
  <w:style w:type="character" w:styleId="883">
    <w:name w:val="endnote reference"/>
    <w:basedOn w:val="898"/>
    <w:uiPriority w:val="99"/>
    <w:semiHidden/>
    <w:unhideWhenUsed/>
    <w:rPr>
      <w:vertAlign w:val="superscript"/>
    </w:rPr>
  </w:style>
  <w:style w:type="paragraph" w:styleId="884">
    <w:name w:val="toc 1"/>
    <w:basedOn w:val="895"/>
    <w:next w:val="895"/>
    <w:uiPriority w:val="39"/>
    <w:unhideWhenUsed/>
    <w:pPr>
      <w:ind w:left="0" w:right="0" w:firstLine="0"/>
      <w:spacing w:after="57"/>
    </w:pPr>
  </w:style>
  <w:style w:type="paragraph" w:styleId="885">
    <w:name w:val="toc 2"/>
    <w:basedOn w:val="895"/>
    <w:next w:val="895"/>
    <w:uiPriority w:val="39"/>
    <w:unhideWhenUsed/>
    <w:pPr>
      <w:ind w:left="283" w:right="0" w:firstLine="0"/>
      <w:spacing w:after="57"/>
    </w:pPr>
  </w:style>
  <w:style w:type="paragraph" w:styleId="886">
    <w:name w:val="toc 3"/>
    <w:basedOn w:val="895"/>
    <w:next w:val="895"/>
    <w:uiPriority w:val="39"/>
    <w:unhideWhenUsed/>
    <w:pPr>
      <w:ind w:left="567" w:right="0" w:firstLine="0"/>
      <w:spacing w:after="57"/>
    </w:pPr>
  </w:style>
  <w:style w:type="paragraph" w:styleId="887">
    <w:name w:val="toc 4"/>
    <w:basedOn w:val="895"/>
    <w:next w:val="895"/>
    <w:uiPriority w:val="39"/>
    <w:unhideWhenUsed/>
    <w:pPr>
      <w:ind w:left="850" w:right="0" w:firstLine="0"/>
      <w:spacing w:after="57"/>
    </w:pPr>
  </w:style>
  <w:style w:type="paragraph" w:styleId="888">
    <w:name w:val="toc 5"/>
    <w:basedOn w:val="895"/>
    <w:next w:val="895"/>
    <w:uiPriority w:val="39"/>
    <w:unhideWhenUsed/>
    <w:pPr>
      <w:ind w:left="1134" w:right="0" w:firstLine="0"/>
      <w:spacing w:after="57"/>
    </w:pPr>
  </w:style>
  <w:style w:type="paragraph" w:styleId="889">
    <w:name w:val="toc 6"/>
    <w:basedOn w:val="895"/>
    <w:next w:val="895"/>
    <w:uiPriority w:val="39"/>
    <w:unhideWhenUsed/>
    <w:pPr>
      <w:ind w:left="1417" w:right="0" w:firstLine="0"/>
      <w:spacing w:after="57"/>
    </w:pPr>
  </w:style>
  <w:style w:type="paragraph" w:styleId="890">
    <w:name w:val="toc 7"/>
    <w:basedOn w:val="895"/>
    <w:next w:val="895"/>
    <w:uiPriority w:val="39"/>
    <w:unhideWhenUsed/>
    <w:pPr>
      <w:ind w:left="1701" w:right="0" w:firstLine="0"/>
      <w:spacing w:after="57"/>
    </w:pPr>
  </w:style>
  <w:style w:type="paragraph" w:styleId="891">
    <w:name w:val="toc 8"/>
    <w:basedOn w:val="895"/>
    <w:next w:val="895"/>
    <w:uiPriority w:val="39"/>
    <w:unhideWhenUsed/>
    <w:pPr>
      <w:ind w:left="1984" w:right="0" w:firstLine="0"/>
      <w:spacing w:after="57"/>
    </w:pPr>
  </w:style>
  <w:style w:type="paragraph" w:styleId="892">
    <w:name w:val="toc 9"/>
    <w:basedOn w:val="895"/>
    <w:next w:val="895"/>
    <w:uiPriority w:val="39"/>
    <w:unhideWhenUsed/>
    <w:pPr>
      <w:ind w:left="2268" w:right="0" w:firstLine="0"/>
      <w:spacing w:after="57"/>
    </w:pPr>
  </w:style>
  <w:style w:type="paragraph" w:styleId="893">
    <w:name w:val="TOC Heading"/>
    <w:uiPriority w:val="39"/>
    <w:unhideWhenUsed/>
  </w:style>
  <w:style w:type="paragraph" w:styleId="894">
    <w:name w:val="table of figures"/>
    <w:basedOn w:val="895"/>
    <w:next w:val="895"/>
    <w:uiPriority w:val="99"/>
    <w:unhideWhenUsed/>
    <w:pPr>
      <w:spacing w:after="0" w:afterAutospacing="0"/>
    </w:pPr>
  </w:style>
  <w:style w:type="paragraph" w:styleId="895" w:default="1">
    <w:name w:val="Normal"/>
    <w:qFormat/>
    <w:pPr>
      <w:jc w:val="left"/>
      <w:spacing w:before="0" w:after="0"/>
      <w:widowControl/>
    </w:pPr>
    <w:rPr>
      <w:rFonts w:ascii="Times New Roman" w:hAnsi="Times New Roman" w:eastAsia="Times New Roman" w:cs="Times New Roman"/>
      <w:color w:val="auto"/>
      <w:sz w:val="24"/>
      <w:szCs w:val="24"/>
      <w:lang w:val="ru-RU" w:eastAsia="ru-RU" w:bidi="ar-SA"/>
    </w:rPr>
  </w:style>
  <w:style w:type="paragraph" w:styleId="896">
    <w:name w:val="Heading 1"/>
    <w:basedOn w:val="895"/>
    <w:next w:val="895"/>
    <w:qFormat/>
    <w:pPr>
      <w:keepNext/>
      <w:spacing w:before="240" w:after="60"/>
      <w:outlineLvl w:val="0"/>
    </w:pPr>
    <w:rPr>
      <w:rFonts w:ascii="Arial" w:hAnsi="Arial" w:cs="Arial"/>
      <w:b/>
      <w:bCs/>
      <w:sz w:val="32"/>
      <w:szCs w:val="32"/>
    </w:rPr>
  </w:style>
  <w:style w:type="paragraph" w:styleId="897">
    <w:name w:val="Heading 2"/>
    <w:basedOn w:val="895"/>
    <w:qFormat/>
    <w:pPr>
      <w:spacing w:beforeAutospacing="1" w:afterAutospacing="1"/>
      <w:outlineLvl w:val="1"/>
    </w:pPr>
    <w:rPr>
      <w:b/>
      <w:bCs/>
      <w:sz w:val="36"/>
      <w:szCs w:val="36"/>
    </w:rPr>
  </w:style>
  <w:style w:type="character" w:styleId="898" w:default="1">
    <w:name w:val="Default Paragraph Font"/>
    <w:uiPriority w:val="1"/>
    <w:semiHidden/>
    <w:unhideWhenUsed/>
    <w:qFormat/>
  </w:style>
  <w:style w:type="character" w:styleId="899">
    <w:name w:val="Символ сноски"/>
    <w:qFormat/>
    <w:rPr>
      <w:vertAlign w:val="superscript"/>
    </w:rPr>
  </w:style>
  <w:style w:type="character" w:styleId="900">
    <w:name w:val="footnote reference"/>
    <w:rPr>
      <w:vertAlign w:val="superscript"/>
    </w:rPr>
  </w:style>
  <w:style w:type="character" w:styleId="901">
    <w:name w:val="page number"/>
    <w:basedOn w:val="898"/>
    <w:qFormat/>
  </w:style>
  <w:style w:type="character" w:styleId="902" w:customStyle="1">
    <w:name w:val="Основной текст 2 Знак"/>
    <w:link w:val="920"/>
    <w:qFormat/>
    <w:rPr>
      <w:sz w:val="24"/>
    </w:rPr>
  </w:style>
  <w:style w:type="character" w:styleId="903" w:customStyle="1">
    <w:name w:val="Основной текст с отступом 3 Знак"/>
    <w:link w:val="922"/>
    <w:qFormat/>
    <w:rPr>
      <w:b/>
      <w:sz w:val="28"/>
    </w:rPr>
  </w:style>
  <w:style w:type="character" w:styleId="904" w:customStyle="1">
    <w:name w:val="Основной текст Знак"/>
    <w:qFormat/>
    <w:rPr>
      <w:sz w:val="24"/>
    </w:rPr>
  </w:style>
  <w:style w:type="character" w:styleId="905" w:customStyle="1">
    <w:name w:val="Текст сноски Знак"/>
    <w:qFormat/>
  </w:style>
  <w:style w:type="character" w:styleId="906" w:customStyle="1">
    <w:name w:val="Основной текст с отступом 2 Знак"/>
    <w:link w:val="921"/>
    <w:qFormat/>
    <w:rPr>
      <w:sz w:val="24"/>
    </w:rPr>
  </w:style>
  <w:style w:type="character" w:styleId="907" w:customStyle="1">
    <w:name w:val="Основной текст 3 Знак"/>
    <w:link w:val="923"/>
    <w:qFormat/>
    <w:rPr>
      <w:sz w:val="28"/>
    </w:rPr>
  </w:style>
  <w:style w:type="character" w:styleId="908">
    <w:name w:val="Hyperlink"/>
    <w:rPr>
      <w:color w:val="0000ff"/>
      <w:u w:val="single"/>
    </w:rPr>
  </w:style>
  <w:style w:type="character" w:styleId="909" w:customStyle="1">
    <w:name w:val="Font Style11"/>
    <w:basedOn w:val="898"/>
    <w:qFormat/>
    <w:rPr>
      <w:rFonts w:ascii="Times New Roman" w:hAnsi="Times New Roman" w:cs="Times New Roman"/>
      <w:b/>
      <w:bCs/>
      <w:sz w:val="20"/>
      <w:szCs w:val="20"/>
    </w:rPr>
  </w:style>
  <w:style w:type="character" w:styleId="910" w:customStyle="1">
    <w:name w:val="Абзац списка Знак"/>
    <w:link w:val="934"/>
    <w:uiPriority w:val="34"/>
    <w:qFormat/>
  </w:style>
  <w:style w:type="character" w:styleId="911">
    <w:name w:val="annotation reference"/>
    <w:basedOn w:val="898"/>
    <w:semiHidden/>
    <w:unhideWhenUsed/>
    <w:qFormat/>
    <w:rPr>
      <w:sz w:val="16"/>
      <w:szCs w:val="16"/>
    </w:rPr>
  </w:style>
  <w:style w:type="character" w:styleId="912" w:customStyle="1">
    <w:name w:val="Текст примечания Знак"/>
    <w:basedOn w:val="898"/>
    <w:link w:val="938"/>
    <w:semiHidden/>
    <w:qFormat/>
  </w:style>
  <w:style w:type="character" w:styleId="913" w:customStyle="1">
    <w:name w:val="Тема примечания Знак"/>
    <w:basedOn w:val="912"/>
    <w:link w:val="939"/>
    <w:semiHidden/>
    <w:qFormat/>
    <w:rPr>
      <w:b/>
      <w:bCs/>
    </w:rPr>
  </w:style>
  <w:style w:type="character" w:styleId="914" w:customStyle="1">
    <w:name w:val="Стиль TimesNewRoman"/>
    <w:basedOn w:val="898"/>
    <w:qFormat/>
    <w:rPr>
      <w:rFonts w:ascii="TimesNewRoman" w:hAnsi="TimesNewRoman"/>
    </w:rPr>
  </w:style>
  <w:style w:type="paragraph" w:styleId="915">
    <w:name w:val="Заголовок"/>
    <w:basedOn w:val="895"/>
    <w:next w:val="916"/>
    <w:qFormat/>
    <w:pPr>
      <w:keepNext/>
      <w:spacing w:before="240" w:after="120"/>
    </w:pPr>
    <w:rPr>
      <w:rFonts w:ascii="Liberation Sans" w:hAnsi="Liberation Sans" w:eastAsia="Tahoma" w:cs="Droid Sans Devanagari"/>
      <w:sz w:val="28"/>
      <w:szCs w:val="28"/>
    </w:rPr>
  </w:style>
  <w:style w:type="paragraph" w:styleId="916">
    <w:name w:val="Body Text"/>
    <w:basedOn w:val="895"/>
    <w:link w:val="904"/>
    <w:pPr>
      <w:jc w:val="both"/>
    </w:pPr>
  </w:style>
  <w:style w:type="paragraph" w:styleId="917">
    <w:name w:val="List"/>
    <w:basedOn w:val="916"/>
    <w:rPr>
      <w:rFonts w:cs="Droid Sans Devanagari"/>
    </w:rPr>
  </w:style>
  <w:style w:type="paragraph" w:styleId="918">
    <w:name w:val="Caption"/>
    <w:basedOn w:val="895"/>
    <w:link w:val="754"/>
    <w:qFormat/>
    <w:pPr>
      <w:spacing w:before="120" w:after="120"/>
      <w:suppressLineNumbers/>
    </w:pPr>
    <w:rPr>
      <w:rFonts w:cs="Droid Sans Devanagari"/>
      <w:i/>
      <w:iCs/>
      <w:sz w:val="24"/>
      <w:szCs w:val="24"/>
    </w:rPr>
  </w:style>
  <w:style w:type="paragraph" w:styleId="919">
    <w:name w:val="Указатель"/>
    <w:basedOn w:val="895"/>
    <w:qFormat/>
    <w:pPr>
      <w:suppressLineNumbers/>
    </w:pPr>
    <w:rPr>
      <w:rFonts w:cs="Droid Sans Devanagari"/>
    </w:rPr>
  </w:style>
  <w:style w:type="paragraph" w:styleId="920">
    <w:name w:val="Body Text 2"/>
    <w:basedOn w:val="895"/>
    <w:link w:val="902"/>
    <w:qFormat/>
    <w:pPr>
      <w:ind w:left="284" w:hanging="284"/>
      <w:jc w:val="both"/>
      <w:tabs>
        <w:tab w:val="left" w:pos="284" w:leader="none"/>
        <w:tab w:val="clear" w:pos="709" w:leader="none"/>
      </w:tabs>
    </w:pPr>
  </w:style>
  <w:style w:type="paragraph" w:styleId="921">
    <w:name w:val="Body Text Indent 2"/>
    <w:basedOn w:val="895"/>
    <w:link w:val="906"/>
    <w:qFormat/>
    <w:pPr>
      <w:ind w:firstLine="720"/>
      <w:jc w:val="both"/>
    </w:pPr>
  </w:style>
  <w:style w:type="paragraph" w:styleId="922">
    <w:name w:val="Body Text Indent 3"/>
    <w:basedOn w:val="895"/>
    <w:link w:val="903"/>
    <w:qFormat/>
    <w:pPr>
      <w:ind w:firstLine="720"/>
      <w:jc w:val="both"/>
      <w:spacing w:before="0" w:after="120"/>
    </w:pPr>
    <w:rPr>
      <w:b/>
      <w:sz w:val="28"/>
    </w:rPr>
  </w:style>
  <w:style w:type="paragraph" w:styleId="923">
    <w:name w:val="Body Text 3"/>
    <w:basedOn w:val="895"/>
    <w:link w:val="907"/>
    <w:qFormat/>
    <w:pPr>
      <w:spacing w:line="264" w:lineRule="auto"/>
    </w:pPr>
    <w:rPr>
      <w:sz w:val="28"/>
    </w:rPr>
  </w:style>
  <w:style w:type="paragraph" w:styleId="924">
    <w:name w:val="footnote text"/>
    <w:basedOn w:val="895"/>
    <w:link w:val="905"/>
  </w:style>
  <w:style w:type="paragraph" w:styleId="925" w:customStyle="1">
    <w:name w:val="Знак"/>
    <w:basedOn w:val="895"/>
    <w:qFormat/>
    <w:pPr>
      <w:spacing w:before="0" w:after="160" w:line="240" w:lineRule="exact"/>
    </w:pPr>
    <w:rPr>
      <w:lang w:val="en-US" w:eastAsia="en-US"/>
    </w:rPr>
  </w:style>
  <w:style w:type="paragraph" w:styleId="926">
    <w:name w:val="Колонтитул"/>
    <w:basedOn w:val="895"/>
    <w:qFormat/>
  </w:style>
  <w:style w:type="paragraph" w:styleId="927">
    <w:name w:val="Header"/>
    <w:basedOn w:val="895"/>
    <w:pPr>
      <w:tabs>
        <w:tab w:val="clear" w:pos="709" w:leader="none"/>
        <w:tab w:val="center" w:pos="4677" w:leader="none"/>
        <w:tab w:val="right" w:pos="9355" w:leader="none"/>
      </w:tabs>
    </w:pPr>
  </w:style>
  <w:style w:type="paragraph" w:styleId="928">
    <w:name w:val="Balloon Text"/>
    <w:basedOn w:val="895"/>
    <w:semiHidden/>
    <w:qFormat/>
    <w:rPr>
      <w:rFonts w:ascii="Tahoma" w:hAnsi="Tahoma" w:cs="Tahoma"/>
      <w:sz w:val="16"/>
      <w:szCs w:val="16"/>
    </w:rPr>
  </w:style>
  <w:style w:type="paragraph" w:styleId="929">
    <w:name w:val="Body Text Indent"/>
    <w:basedOn w:val="895"/>
    <w:pPr>
      <w:ind w:left="283"/>
      <w:spacing w:before="0" w:after="120"/>
    </w:pPr>
  </w:style>
  <w:style w:type="paragraph" w:styleId="930" w:customStyle="1">
    <w:name w:val="Знак Знак Знак Знак"/>
    <w:basedOn w:val="895"/>
    <w:qFormat/>
    <w:pPr>
      <w:spacing w:before="0" w:after="160" w:line="240" w:lineRule="exact"/>
    </w:pPr>
    <w:rPr>
      <w:lang w:val="en-US" w:eastAsia="en-US"/>
    </w:rPr>
  </w:style>
  <w:style w:type="paragraph" w:styleId="931" w:customStyle="1">
    <w:name w:val="Обычный1"/>
    <w:qFormat/>
    <w:pPr>
      <w:ind w:firstLine="560"/>
      <w:jc w:val="left"/>
      <w:spacing w:before="0" w:after="0" w:line="300" w:lineRule="auto"/>
      <w:widowControl w:val="off"/>
    </w:pPr>
    <w:rPr>
      <w:rFonts w:ascii="Times New Roman" w:hAnsi="Times New Roman" w:eastAsia="Times New Roman" w:cs="Times New Roman"/>
      <w:color w:val="auto"/>
      <w:sz w:val="22"/>
      <w:szCs w:val="24"/>
      <w:lang w:val="ru-RU" w:eastAsia="ru-RU" w:bidi="ar-SA"/>
    </w:rPr>
  </w:style>
  <w:style w:type="paragraph" w:styleId="932"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95"/>
    <w:qFormat/>
    <w:pPr>
      <w:spacing w:before="0" w:after="160" w:line="240" w:lineRule="exact"/>
    </w:pPr>
    <w:rPr>
      <w:rFonts w:ascii="Verdana" w:hAnsi="Verdana" w:cs="Verdana"/>
      <w:lang w:val="en-US" w:eastAsia="en-US"/>
    </w:rPr>
  </w:style>
  <w:style w:type="paragraph" w:styleId="933">
    <w:name w:val="Normal (Web)"/>
    <w:basedOn w:val="895"/>
    <w:uiPriority w:val="99"/>
    <w:unhideWhenUsed/>
    <w:qFormat/>
    <w:pPr>
      <w:spacing w:beforeAutospacing="1" w:afterAutospacing="1"/>
    </w:pPr>
  </w:style>
  <w:style w:type="paragraph" w:styleId="934">
    <w:name w:val="List Paragraph"/>
    <w:basedOn w:val="895"/>
    <w:link w:val="910"/>
    <w:uiPriority w:val="34"/>
    <w:qFormat/>
    <w:pPr>
      <w:ind w:left="708"/>
    </w:pPr>
  </w:style>
  <w:style w:type="paragraph" w:styleId="935" w:customStyle="1">
    <w:name w:val="Style5"/>
    <w:basedOn w:val="895"/>
    <w:qFormat/>
    <w:pPr>
      <w:ind w:firstLine="168"/>
      <w:jc w:val="both"/>
      <w:spacing w:line="290" w:lineRule="exact"/>
      <w:widowControl w:val="off"/>
    </w:pPr>
    <w:rPr>
      <w:rFonts w:ascii="Calibri" w:hAnsi="Calibri"/>
    </w:rPr>
  </w:style>
  <w:style w:type="paragraph" w:styleId="936" w:customStyle="1">
    <w:name w:val="ConsNonformat"/>
    <w:uiPriority w:val="99"/>
    <w:qFormat/>
    <w:pPr>
      <w:jc w:val="left"/>
      <w:spacing w:before="0" w:after="0"/>
      <w:widowControl w:val="off"/>
    </w:pPr>
    <w:rPr>
      <w:rFonts w:ascii="Courier New" w:hAnsi="Courier New" w:eastAsia="Times New Roman" w:cs="Courier New"/>
      <w:color w:val="auto"/>
      <w:sz w:val="24"/>
      <w:szCs w:val="24"/>
      <w:lang w:val="ru-RU" w:eastAsia="ru-RU" w:bidi="ar-SA"/>
    </w:rPr>
  </w:style>
  <w:style w:type="paragraph" w:styleId="937" w:customStyle="1">
    <w:name w:val="Default"/>
    <w:qFormat/>
    <w:pPr>
      <w:jc w:val="left"/>
      <w:spacing w:before="0" w:after="0"/>
      <w:widowControl/>
    </w:pPr>
    <w:rPr>
      <w:rFonts w:ascii="Times New Roman" w:hAnsi="Times New Roman" w:eastAsia="Times New Roman" w:cs="Times New Roman"/>
      <w:color w:val="000000"/>
      <w:sz w:val="24"/>
      <w:szCs w:val="24"/>
      <w:lang w:val="ru-RU" w:eastAsia="ru-RU" w:bidi="ar-SA"/>
    </w:rPr>
  </w:style>
  <w:style w:type="paragraph" w:styleId="938">
    <w:name w:val="annotation text"/>
    <w:basedOn w:val="895"/>
    <w:link w:val="912"/>
    <w:semiHidden/>
    <w:unhideWhenUsed/>
    <w:qFormat/>
  </w:style>
  <w:style w:type="paragraph" w:styleId="939">
    <w:name w:val="annotation subject"/>
    <w:basedOn w:val="938"/>
    <w:next w:val="938"/>
    <w:link w:val="913"/>
    <w:semiHidden/>
    <w:unhideWhenUsed/>
    <w:qFormat/>
    <w:rPr>
      <w:b/>
      <w:bCs/>
    </w:rPr>
  </w:style>
  <w:style w:type="paragraph" w:styleId="940">
    <w:name w:val="Содержимое врезки"/>
    <w:basedOn w:val="895"/>
    <w:qFormat/>
  </w:style>
  <w:style w:type="numbering" w:styleId="941" w:default="1">
    <w:name w:val="No List"/>
    <w:uiPriority w:val="99"/>
    <w:semiHidden/>
    <w:unhideWhenUsed/>
    <w:qFormat/>
  </w:style>
  <w:style w:type="table" w:styleId="942" w:default="1">
    <w:name w:val="Normal Table"/>
    <w:uiPriority w:val="99"/>
    <w:semiHidden/>
    <w:unhideWhenUsed/>
    <w:tblPr>
      <w:tblCellMar>
        <w:left w:w="108" w:type="dxa"/>
        <w:top w:w="0" w:type="dxa"/>
        <w:right w:w="108" w:type="dxa"/>
        <w:bottom w:w="0" w:type="dxa"/>
      </w:tblCellMar>
    </w:tblPr>
  </w:style>
  <w:style w:type="table" w:styleId="943">
    <w:name w:val="Table Grid"/>
    <w:basedOn w:val="94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4" w:customStyle="1">
    <w:name w:val="Леша1"/>
    <w:basedOn w:val="942"/>
    <w:uiPriority w:val="5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5" w:customStyle="1">
    <w:name w:val="Леша2"/>
    <w:basedOn w:val="942"/>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6" w:customStyle="1">
    <w:name w:val="Леша3"/>
    <w:basedOn w:val="942"/>
    <w:uiPriority w:val="5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7" w:customStyle="1">
    <w:name w:val="Леша4"/>
    <w:basedOn w:val="942"/>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8" w:customStyle="1">
    <w:name w:val="Леша10"/>
    <w:basedOn w:val="942"/>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9" w:customStyle="1">
    <w:name w:val="Леша11"/>
    <w:basedOn w:val="942"/>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50" w:customStyle="1">
    <w:name w:val="Леша12"/>
    <w:basedOn w:val="942"/>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51" w:customStyle="1">
    <w:name w:val="Леша7"/>
    <w:basedOn w:val="942"/>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customXml" Target="../customXml/item1.xml" /><Relationship Id="rId11" Type="http://schemas.openxmlformats.org/officeDocument/2006/relationships/hyperlink" Target="http://www.rosim.ru/" TargetMode="External"/><Relationship Id="rId12" Type="http://schemas.openxmlformats.org/officeDocument/2006/relationships/hyperlink" Target="https://tu74.rosim.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816E5-076E-42BA-B66D-93C89C507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Р7-Офис/2025.2.2.831</Application>
  <Company>RFPF</Company>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Levchenkoi</dc:creator>
  <dc:description/>
  <dc:language>ru-RU</dc:language>
  <cp:lastModifiedBy>o.tikhonenko</cp:lastModifiedBy>
  <cp:revision>12</cp:revision>
  <dcterms:created xsi:type="dcterms:W3CDTF">2023-02-14T15:01:00Z</dcterms:created>
  <dcterms:modified xsi:type="dcterms:W3CDTF">2026-07-24T10:11:49Z</dcterms:modified>
</cp:coreProperties>
</file>

<file path=docProps/custom.xml><?xml version="1.0" encoding="utf-8"?>
<Properties xmlns="http://schemas.openxmlformats.org/officeDocument/2006/custom-properties" xmlns:vt="http://schemas.openxmlformats.org/officeDocument/2006/docPropsVTypes"/>
</file>